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73A11" w:rsidR="00B26382" w:rsidP="206C2CE6" w:rsidRDefault="00B26382" w14:paraId="6CB6B427" w14:textId="770AC6D9">
      <w:pPr>
        <w:spacing w:line="360" w:lineRule="auto"/>
        <w:ind w:firstLine="709"/>
        <w:jc w:val="center"/>
        <w:rPr>
          <w:rFonts w:ascii="Arial" w:hAnsi="Arial" w:eastAsia="Arial" w:cs="Arial"/>
          <w:sz w:val="24"/>
          <w:szCs w:val="24"/>
          <w:lang w:val="es-MX"/>
        </w:rPr>
      </w:pPr>
      <w:r w:rsidRPr="60EAF375">
        <w:rPr>
          <w:rFonts w:ascii="Arial" w:hAnsi="Arial" w:eastAsia="Arial" w:cs="Arial"/>
          <w:sz w:val="24"/>
          <w:szCs w:val="24"/>
          <w:lang w:val="es-MX"/>
        </w:rPr>
        <w:t xml:space="preserve">Violencia intrafamiliar </w:t>
      </w:r>
      <w:r w:rsidRPr="60EAF375" w:rsidR="625F12CF">
        <w:rPr>
          <w:rFonts w:ascii="Arial" w:hAnsi="Arial" w:eastAsia="Arial" w:cs="Arial"/>
          <w:sz w:val="24"/>
          <w:szCs w:val="24"/>
          <w:lang w:val="es-MX"/>
        </w:rPr>
        <w:t xml:space="preserve">casos en privación de libertad del sistema penal de adultos </w:t>
      </w:r>
      <w:bookmarkStart w:name="_Int_L3AumJt5" w:id="0"/>
      <w:proofErr w:type="spellStart"/>
      <w:r w:rsidRPr="60EAF375">
        <w:rPr>
          <w:rFonts w:ascii="Arial" w:hAnsi="Arial" w:eastAsia="Arial" w:cs="Arial"/>
          <w:sz w:val="24"/>
          <w:szCs w:val="24"/>
          <w:lang w:val="es-MX"/>
        </w:rPr>
        <w:t>adultos</w:t>
      </w:r>
      <w:bookmarkEnd w:id="0"/>
      <w:proofErr w:type="spellEnd"/>
    </w:p>
    <w:p w:rsidR="27AAE1F0" w:rsidP="206C2CE6" w:rsidRDefault="27AAE1F0" w14:paraId="030BF51D" w14:textId="1DE5490C">
      <w:pPr>
        <w:spacing w:line="360" w:lineRule="auto"/>
        <w:ind w:firstLine="709"/>
        <w:jc w:val="center"/>
        <w:rPr>
          <w:rFonts w:ascii="Arial" w:hAnsi="Arial" w:eastAsia="Arial" w:cs="Arial"/>
          <w:sz w:val="24"/>
          <w:szCs w:val="24"/>
          <w:lang w:val="es-MX"/>
        </w:rPr>
      </w:pPr>
      <w:r w:rsidRPr="60EAF375">
        <w:rPr>
          <w:rFonts w:ascii="Arial" w:hAnsi="Arial" w:eastAsia="Arial" w:cs="Arial"/>
          <w:sz w:val="24"/>
          <w:szCs w:val="24"/>
          <w:lang w:val="es-MX"/>
        </w:rPr>
        <w:t>Programa Distrital de Justicia Restaurativa</w:t>
      </w:r>
    </w:p>
    <w:p w:rsidR="5EAE683D" w:rsidP="206C2CE6" w:rsidRDefault="5EAE683D" w14:paraId="4A562A90" w14:textId="4C87E159">
      <w:pPr>
        <w:spacing w:line="360" w:lineRule="auto"/>
        <w:ind w:firstLine="709"/>
        <w:jc w:val="both"/>
        <w:rPr>
          <w:rFonts w:ascii="Arial" w:hAnsi="Arial" w:eastAsia="Arial" w:cs="Arial"/>
          <w:b/>
          <w:bCs/>
          <w:sz w:val="24"/>
          <w:szCs w:val="24"/>
          <w:lang w:val="es-MX"/>
        </w:rPr>
      </w:pPr>
    </w:p>
    <w:p w:rsidR="7158421E" w:rsidP="206C2CE6" w:rsidRDefault="7158421E" w14:paraId="4C98FA23" w14:textId="09B493D4">
      <w:pPr>
        <w:spacing w:line="360" w:lineRule="auto"/>
        <w:ind w:firstLine="709"/>
        <w:jc w:val="both"/>
        <w:rPr>
          <w:rFonts w:ascii="Arial" w:hAnsi="Arial" w:eastAsia="Arial" w:cs="Arial"/>
          <w:b/>
          <w:bCs/>
          <w:sz w:val="24"/>
          <w:szCs w:val="24"/>
          <w:lang w:val="es-MX"/>
        </w:rPr>
      </w:pPr>
      <w:r w:rsidRPr="241E5147">
        <w:rPr>
          <w:rFonts w:ascii="Arial" w:hAnsi="Arial" w:eastAsia="Arial" w:cs="Arial"/>
          <w:b/>
          <w:bCs/>
          <w:sz w:val="24"/>
          <w:szCs w:val="24"/>
          <w:lang w:val="es-MX"/>
        </w:rPr>
        <w:t xml:space="preserve">Concepto </w:t>
      </w:r>
    </w:p>
    <w:p w:rsidR="7158421E" w:rsidP="206C2CE6" w:rsidRDefault="7158421E" w14:paraId="6F0E31E8" w14:textId="2790A9E9">
      <w:pPr>
        <w:spacing w:line="360" w:lineRule="auto"/>
        <w:ind w:firstLine="709"/>
        <w:jc w:val="both"/>
        <w:rPr>
          <w:rFonts w:ascii="Arial" w:hAnsi="Arial" w:eastAsia="Arial" w:cs="Arial"/>
          <w:sz w:val="24"/>
          <w:szCs w:val="24"/>
          <w:lang w:val="es-MX"/>
        </w:rPr>
      </w:pPr>
      <w:r w:rsidRPr="60EAF375">
        <w:rPr>
          <w:rFonts w:ascii="Arial" w:hAnsi="Arial" w:eastAsia="Arial" w:cs="Arial"/>
          <w:sz w:val="24"/>
          <w:szCs w:val="24"/>
          <w:lang w:val="es-MX"/>
        </w:rPr>
        <w:t xml:space="preserve">Los comportamientos violentos son patrones de conductas repetidos en los que no se reconocen ni respetan los derechos ajenos ni las normas de convivencia. Arce y Fariña (2010) explican que, a pesar de que se ha intentado abordar este fenómeno desde diversas perspectivas, hay consenso en tres aspectos fundamentales: los biológicos, los individuales o psicológicos y los sociales. Además, enfatizan la importancia de comprender que tanto las conductas </w:t>
      </w:r>
      <w:proofErr w:type="spellStart"/>
      <w:r w:rsidRPr="60EAF375">
        <w:rPr>
          <w:rFonts w:ascii="Arial" w:hAnsi="Arial" w:eastAsia="Arial" w:cs="Arial"/>
          <w:sz w:val="24"/>
          <w:szCs w:val="24"/>
          <w:lang w:val="es-MX"/>
        </w:rPr>
        <w:t>prosociales</w:t>
      </w:r>
      <w:proofErr w:type="spellEnd"/>
      <w:r w:rsidRPr="60EAF375">
        <w:rPr>
          <w:rFonts w:ascii="Arial" w:hAnsi="Arial" w:eastAsia="Arial" w:cs="Arial"/>
          <w:sz w:val="24"/>
          <w:szCs w:val="24"/>
          <w:lang w:val="es-MX"/>
        </w:rPr>
        <w:t xml:space="preserve"> como las desviadas o antisociales se aprenden, y que la probabilidad de riesgo está íntimamente relacionada con los factores de riesgo y protectores.  </w:t>
      </w:r>
    </w:p>
    <w:p w:rsidR="7158421E" w:rsidP="206C2CE6" w:rsidRDefault="7158421E" w14:paraId="611E5917" w14:textId="034CB8B2">
      <w:pPr>
        <w:spacing w:line="360" w:lineRule="auto"/>
        <w:ind w:firstLine="709"/>
        <w:jc w:val="both"/>
        <w:rPr>
          <w:rFonts w:ascii="Arial" w:hAnsi="Arial" w:eastAsia="Arial" w:cs="Arial"/>
          <w:sz w:val="24"/>
          <w:szCs w:val="24"/>
          <w:lang w:val="es-MX"/>
        </w:rPr>
      </w:pPr>
      <w:r w:rsidRPr="60EAF375">
        <w:rPr>
          <w:rFonts w:ascii="Arial" w:hAnsi="Arial" w:eastAsia="Arial" w:cs="Arial"/>
          <w:sz w:val="24"/>
          <w:szCs w:val="24"/>
          <w:lang w:val="es-MX"/>
        </w:rPr>
        <w:t xml:space="preserve">En este contexto, Ordóñez Espinoza y Álvarez </w:t>
      </w:r>
      <w:proofErr w:type="spellStart"/>
      <w:r w:rsidRPr="60EAF375">
        <w:rPr>
          <w:rFonts w:ascii="Arial" w:hAnsi="Arial" w:eastAsia="Arial" w:cs="Arial"/>
          <w:sz w:val="24"/>
          <w:szCs w:val="24"/>
          <w:lang w:val="es-MX"/>
        </w:rPr>
        <w:t>Saquinaula</w:t>
      </w:r>
      <w:proofErr w:type="spellEnd"/>
      <w:r w:rsidRPr="60EAF375">
        <w:rPr>
          <w:rFonts w:ascii="Arial" w:hAnsi="Arial" w:eastAsia="Arial" w:cs="Arial"/>
          <w:sz w:val="24"/>
          <w:szCs w:val="24"/>
          <w:lang w:val="es-MX"/>
        </w:rPr>
        <w:t xml:space="preserve"> (2022) definen la violencia intrafamiliar (VIF) o maltrato intrafamiliar como una expresión de violencia que se intensifica y afecta a todos los miembros de la familia. Este fenómeno es complejo y tiende a normalizarse, generando consecuencias físicas, psicológicas y económicas. Los comportamientos violentos pueden dirigirse a cualquier miembro de la familia, aunque generalmente tienen un impacto más severo en mujeres y niños. A esto, Arce y Fariña (2010) añaden que la VIF se manifiesta a través de comportamientos como amenazas, coacción y la privación arbitraria de libertad hacia las víctimas, y que muchas veces está relacionado con la violencia de género.  </w:t>
      </w:r>
    </w:p>
    <w:p w:rsidR="7158421E" w:rsidP="206C2CE6" w:rsidRDefault="7158421E" w14:paraId="65A4B4D8" w14:textId="03346ED6">
      <w:pPr>
        <w:spacing w:line="360" w:lineRule="auto"/>
        <w:ind w:firstLine="709"/>
        <w:jc w:val="both"/>
        <w:rPr>
          <w:rFonts w:ascii="Arial" w:hAnsi="Arial" w:eastAsia="Arial" w:cs="Arial"/>
          <w:sz w:val="24"/>
          <w:szCs w:val="24"/>
          <w:lang w:val="es-MX"/>
        </w:rPr>
      </w:pPr>
      <w:r w:rsidRPr="60EAF375">
        <w:rPr>
          <w:rFonts w:ascii="Arial" w:hAnsi="Arial" w:eastAsia="Arial" w:cs="Arial"/>
          <w:sz w:val="24"/>
          <w:szCs w:val="24"/>
          <w:lang w:val="es-MX"/>
        </w:rPr>
        <w:t xml:space="preserve">La violencia intrafamiliar se presenta, por tanto, como un fenómeno social complejo, definido como el ejercicio de poder y control dentro del ámbito familiar, manifestándose de diversas formas de maltrato. En este sentido, Tijeras et al. (2005) afirman que el abuso de poder es una de las principales características de la VIF, ya que el agresor busca ejercer control sobre la relación familiar. Asimismo, Caicedo (2005) señala que este tipo de violencia ha sido históricamente legitimado y constituye una violación de los derechos humanos, con profundas raíces en las desigualdades de género. Por su parte, la Secretaría Distrital de la Mujer (OMEG, 2024) enfatiza que la violencia intrafamiliar puede adoptar múltiples formas, incluyendo la violencia física, psicológica, sexual y económica, y coinciden con Ordóñez Espinoza y Álvarez </w:t>
      </w:r>
      <w:proofErr w:type="spellStart"/>
      <w:r w:rsidRPr="60EAF375">
        <w:rPr>
          <w:rFonts w:ascii="Arial" w:hAnsi="Arial" w:eastAsia="Arial" w:cs="Arial"/>
          <w:sz w:val="24"/>
          <w:szCs w:val="24"/>
          <w:lang w:val="es-MX"/>
        </w:rPr>
        <w:t>Saquinaula</w:t>
      </w:r>
      <w:proofErr w:type="spellEnd"/>
      <w:r w:rsidRPr="60EAF375">
        <w:rPr>
          <w:rFonts w:ascii="Arial" w:hAnsi="Arial" w:eastAsia="Arial" w:cs="Arial"/>
          <w:sz w:val="24"/>
          <w:szCs w:val="24"/>
          <w:lang w:val="es-MX"/>
        </w:rPr>
        <w:t xml:space="preserve"> (2022) en que se afectan principalmente a mujeres y niños. Es importante destacar que, como menciona Caicedo, este problema trasciende las barreras socioeconómicas y se presenta en todos los estratos sociales. </w:t>
      </w:r>
    </w:p>
    <w:p w:rsidR="5EAE683D" w:rsidP="206C2CE6" w:rsidRDefault="5EAE683D" w14:paraId="4E232E68" w14:textId="278EF847">
      <w:pPr>
        <w:spacing w:line="360" w:lineRule="auto"/>
        <w:ind w:firstLine="709"/>
        <w:jc w:val="both"/>
        <w:rPr>
          <w:rFonts w:ascii="Arial" w:hAnsi="Arial" w:eastAsia="Arial" w:cs="Arial"/>
          <w:b/>
          <w:bCs/>
          <w:sz w:val="24"/>
          <w:szCs w:val="24"/>
          <w:lang w:val="es-MX"/>
        </w:rPr>
      </w:pPr>
    </w:p>
    <w:p w:rsidR="7158421E" w:rsidP="206C2CE6" w:rsidRDefault="7158421E" w14:paraId="5F22BA68" w14:textId="2044A6A0">
      <w:pPr>
        <w:spacing w:line="360" w:lineRule="auto"/>
        <w:ind w:firstLine="709"/>
        <w:jc w:val="both"/>
        <w:rPr>
          <w:rFonts w:ascii="Arial" w:hAnsi="Arial" w:eastAsia="Arial" w:cs="Arial"/>
          <w:b/>
          <w:bCs/>
          <w:sz w:val="24"/>
          <w:szCs w:val="24"/>
          <w:lang w:val="es-MX"/>
        </w:rPr>
      </w:pPr>
      <w:r w:rsidRPr="60EAF375">
        <w:rPr>
          <w:rFonts w:ascii="Arial" w:hAnsi="Arial" w:eastAsia="Arial" w:cs="Arial"/>
          <w:b/>
          <w:bCs/>
          <w:sz w:val="24"/>
          <w:szCs w:val="24"/>
          <w:lang w:val="es-MX"/>
        </w:rPr>
        <w:t xml:space="preserve">Cifras  </w:t>
      </w:r>
    </w:p>
    <w:p w:rsidR="74A7FC31" w:rsidP="206C2CE6" w:rsidRDefault="01200FF3" w14:paraId="3C47D9F8" w14:textId="48334C8F">
      <w:pPr>
        <w:spacing w:line="360" w:lineRule="auto"/>
        <w:ind w:firstLine="709"/>
        <w:jc w:val="both"/>
        <w:rPr>
          <w:rFonts w:ascii="Arial" w:hAnsi="Arial" w:eastAsia="Arial" w:cs="Arial"/>
          <w:sz w:val="24"/>
          <w:szCs w:val="24"/>
          <w:lang w:val="es-MX"/>
        </w:rPr>
      </w:pPr>
      <w:r w:rsidRPr="60EAF375">
        <w:rPr>
          <w:rFonts w:ascii="Arial" w:hAnsi="Arial" w:eastAsia="Arial" w:cs="Arial"/>
          <w:sz w:val="24"/>
          <w:szCs w:val="24"/>
          <w:lang w:val="es-MX"/>
        </w:rPr>
        <w:t>En el</w:t>
      </w:r>
      <w:r w:rsidRPr="60EAF375" w:rsidR="2B3E2D48">
        <w:rPr>
          <w:rFonts w:ascii="Arial" w:hAnsi="Arial" w:eastAsia="Arial" w:cs="Arial"/>
          <w:sz w:val="24"/>
          <w:szCs w:val="24"/>
          <w:lang w:val="es-MX"/>
        </w:rPr>
        <w:t xml:space="preserve"> reporte </w:t>
      </w:r>
      <w:r w:rsidRPr="60EAF375" w:rsidR="628D25E0">
        <w:rPr>
          <w:rFonts w:ascii="Arial" w:hAnsi="Arial" w:eastAsia="Arial" w:cs="Arial"/>
          <w:sz w:val="24"/>
          <w:szCs w:val="24"/>
          <w:lang w:val="es-MX"/>
        </w:rPr>
        <w:t>dado por</w:t>
      </w:r>
      <w:r w:rsidRPr="60EAF375" w:rsidR="2B3E2D48">
        <w:rPr>
          <w:rFonts w:ascii="Arial" w:hAnsi="Arial" w:eastAsia="Arial" w:cs="Arial"/>
          <w:sz w:val="24"/>
          <w:szCs w:val="24"/>
          <w:lang w:val="es-MX"/>
        </w:rPr>
        <w:t xml:space="preserve"> </w:t>
      </w:r>
      <w:r w:rsidRPr="60EAF375" w:rsidR="4F5A9C4F">
        <w:rPr>
          <w:rFonts w:ascii="Arial" w:hAnsi="Arial" w:eastAsia="Arial" w:cs="Arial"/>
          <w:sz w:val="24"/>
          <w:szCs w:val="24"/>
          <w:lang w:val="es-MX"/>
        </w:rPr>
        <w:t xml:space="preserve">la Dirección de Políticas y Estrategia de la Fiscalía </w:t>
      </w:r>
      <w:r w:rsidRPr="60EAF375" w:rsidR="7E99AC0A">
        <w:rPr>
          <w:rFonts w:ascii="Arial" w:hAnsi="Arial" w:eastAsia="Arial" w:cs="Arial"/>
          <w:sz w:val="24"/>
          <w:szCs w:val="24"/>
          <w:lang w:val="es-MX"/>
        </w:rPr>
        <w:t xml:space="preserve">enviado </w:t>
      </w:r>
      <w:r w:rsidRPr="60EAF375" w:rsidR="4F5A9C4F">
        <w:rPr>
          <w:rFonts w:ascii="Arial" w:hAnsi="Arial" w:eastAsia="Arial" w:cs="Arial"/>
          <w:sz w:val="24"/>
          <w:szCs w:val="24"/>
          <w:lang w:val="es-MX"/>
        </w:rPr>
        <w:t xml:space="preserve">el 27 de septiembre de 2024 </w:t>
      </w:r>
      <w:r w:rsidRPr="60EAF375" w:rsidR="2BB3983B">
        <w:rPr>
          <w:rFonts w:ascii="Arial" w:hAnsi="Arial" w:eastAsia="Arial" w:cs="Arial"/>
          <w:sz w:val="24"/>
          <w:szCs w:val="24"/>
          <w:lang w:val="es-MX"/>
        </w:rPr>
        <w:t>en respuesta a una petición de información realizada desde el Programa de Justicia Restaurativa, se puede observar</w:t>
      </w:r>
      <w:r w:rsidRPr="60EAF375" w:rsidR="2B3E2D48">
        <w:rPr>
          <w:rFonts w:ascii="Arial" w:hAnsi="Arial" w:eastAsia="Arial" w:cs="Arial"/>
          <w:sz w:val="24"/>
          <w:szCs w:val="24"/>
          <w:lang w:val="es-MX"/>
        </w:rPr>
        <w:t xml:space="preserve"> </w:t>
      </w:r>
      <w:r w:rsidRPr="60EAF375" w:rsidR="5A0B9668">
        <w:rPr>
          <w:rFonts w:ascii="Arial" w:hAnsi="Arial" w:eastAsia="Arial" w:cs="Arial"/>
          <w:sz w:val="24"/>
          <w:szCs w:val="24"/>
          <w:lang w:val="es-MX"/>
        </w:rPr>
        <w:t xml:space="preserve">que </w:t>
      </w:r>
      <w:r w:rsidRPr="60EAF375" w:rsidR="2B3E2D48">
        <w:rPr>
          <w:rFonts w:ascii="Arial" w:hAnsi="Arial" w:eastAsia="Arial" w:cs="Arial"/>
          <w:sz w:val="24"/>
          <w:szCs w:val="24"/>
          <w:lang w:val="es-MX"/>
        </w:rPr>
        <w:t>el número de casos denunciados</w:t>
      </w:r>
      <w:r w:rsidRPr="60EAF375" w:rsidR="594F3759">
        <w:rPr>
          <w:rFonts w:ascii="Arial" w:hAnsi="Arial" w:eastAsia="Arial" w:cs="Arial"/>
          <w:sz w:val="24"/>
          <w:szCs w:val="24"/>
          <w:lang w:val="es-MX"/>
        </w:rPr>
        <w:t xml:space="preserve"> por violencia intrafamiliar en el sistema penal de adultos</w:t>
      </w:r>
      <w:r w:rsidRPr="60EAF375" w:rsidR="2B3E2D48">
        <w:rPr>
          <w:rFonts w:ascii="Arial" w:hAnsi="Arial" w:eastAsia="Arial" w:cs="Arial"/>
          <w:sz w:val="24"/>
          <w:szCs w:val="24"/>
          <w:lang w:val="es-MX"/>
        </w:rPr>
        <w:t xml:space="preserve"> entre 2018 y 2023, revelan patrones significativos a nivel nacional. En 2018, se registraron 36,602 denuncias, cifra que aumentó drásticamente a 55,546 en 2019. Aunque el año 2020 mostró una ligera disminución, con 49,227 casos, los años siguientes presentaron una tendencia creciente, alcanzando un máximo de 61,306 denuncias en 2023. Este aumento sostenido indica una posible intensificación de la problemática y la necesidad de atenderla. Por otro lado, al analizar la situación en Bogotá</w:t>
      </w:r>
      <w:r w:rsidRPr="60EAF375" w:rsidR="1B4F8F7C">
        <w:rPr>
          <w:rFonts w:ascii="Arial" w:hAnsi="Arial" w:eastAsia="Arial" w:cs="Arial"/>
          <w:sz w:val="24"/>
          <w:szCs w:val="24"/>
          <w:lang w:val="es-MX"/>
        </w:rPr>
        <w:t xml:space="preserve"> en el mismo reporte</w:t>
      </w:r>
      <w:r w:rsidRPr="60EAF375" w:rsidR="2B3E2D48">
        <w:rPr>
          <w:rFonts w:ascii="Arial" w:hAnsi="Arial" w:eastAsia="Arial" w:cs="Arial"/>
          <w:sz w:val="24"/>
          <w:szCs w:val="24"/>
          <w:lang w:val="es-MX"/>
        </w:rPr>
        <w:t xml:space="preserve">, las cifras reflejan una dinámica diferente. En 2018, la capital reportó 12,964 casos de violencia intrafamiliar, con un incremento a 16,842 en 2019. Sin embargo, a partir de 2020, las denuncias se mantuvieron relativamente estables, con ligeras variaciones. En 2022 y 2023, se observó un notable descenso en las denuncias, con 9,801 y 9,793 casos, respectivamente. </w:t>
      </w:r>
    </w:p>
    <w:p w:rsidR="18B512C8" w:rsidP="206C2CE6" w:rsidRDefault="427088F9" w14:paraId="50371FEC" w14:textId="3E29D5CA">
      <w:pPr>
        <w:spacing w:line="360" w:lineRule="auto"/>
        <w:ind w:firstLine="709"/>
        <w:jc w:val="both"/>
        <w:rPr>
          <w:rFonts w:ascii="Arial" w:hAnsi="Arial" w:eastAsia="Arial" w:cs="Arial"/>
          <w:sz w:val="24"/>
          <w:szCs w:val="24"/>
          <w:lang w:val="es-MX"/>
        </w:rPr>
      </w:pPr>
      <w:r w:rsidRPr="60EAF375">
        <w:rPr>
          <w:rFonts w:ascii="Arial" w:hAnsi="Arial" w:eastAsia="Arial" w:cs="Arial"/>
          <w:sz w:val="24"/>
          <w:szCs w:val="24"/>
          <w:lang w:val="es-MX"/>
        </w:rPr>
        <w:t xml:space="preserve">El análisis </w:t>
      </w:r>
      <w:r w:rsidRPr="60EAF375" w:rsidR="133D5E2F">
        <w:rPr>
          <w:rFonts w:ascii="Arial" w:hAnsi="Arial" w:eastAsia="Arial" w:cs="Arial"/>
          <w:sz w:val="24"/>
          <w:szCs w:val="24"/>
          <w:lang w:val="es-MX"/>
        </w:rPr>
        <w:t xml:space="preserve">de las cifras </w:t>
      </w:r>
      <w:r w:rsidRPr="60EAF375">
        <w:rPr>
          <w:rFonts w:ascii="Arial" w:hAnsi="Arial" w:eastAsia="Arial" w:cs="Arial"/>
          <w:sz w:val="24"/>
          <w:szCs w:val="24"/>
          <w:lang w:val="es-MX"/>
        </w:rPr>
        <w:t>de la violencia intrafamiliar a través del género</w:t>
      </w:r>
      <w:r w:rsidRPr="60EAF375" w:rsidR="1154070E">
        <w:rPr>
          <w:rFonts w:ascii="Arial" w:hAnsi="Arial" w:eastAsia="Arial" w:cs="Arial"/>
          <w:sz w:val="24"/>
          <w:szCs w:val="24"/>
          <w:lang w:val="es-MX"/>
        </w:rPr>
        <w:t xml:space="preserve"> en Bogotá</w:t>
      </w:r>
      <w:r w:rsidRPr="60EAF375">
        <w:rPr>
          <w:rFonts w:ascii="Arial" w:hAnsi="Arial" w:eastAsia="Arial" w:cs="Arial"/>
          <w:sz w:val="24"/>
          <w:szCs w:val="24"/>
          <w:lang w:val="es-MX"/>
        </w:rPr>
        <w:t xml:space="preserve"> revela patrones preocupantes en la perpetración del delito. Según los datos, en 2018 se registraron 9.869 casos de violencia intrafamiliar perpetrados por hombres, cifra que aumentó a 12.971 en 2019 y alcanzó un pico de 13.002 en 2020. Sin embargo, se observó una disminución significativa en 2022, con 7.527 casos, y una ligera reducción adicional a 7.430 en 2023. Esta tendencia sugiere una variabilidad en la violencia ejercida por hombres, que podría estar relacionada con factores sociales o económicos en diferentes períodos</w:t>
      </w:r>
      <w:r w:rsidRPr="60EAF375" w:rsidR="21BDF014">
        <w:rPr>
          <w:rFonts w:ascii="Arial" w:hAnsi="Arial" w:eastAsia="Arial" w:cs="Arial"/>
          <w:sz w:val="24"/>
          <w:szCs w:val="24"/>
          <w:lang w:val="es-MX"/>
        </w:rPr>
        <w:t>, pero que, a pesar de disminuir un poco, se siguen presentando cifras muy altas al respecto.</w:t>
      </w:r>
    </w:p>
    <w:p w:rsidR="18B512C8" w:rsidP="206C2CE6" w:rsidRDefault="427088F9" w14:paraId="67DF3962" w14:textId="45D824C8">
      <w:pPr>
        <w:spacing w:line="360" w:lineRule="auto"/>
        <w:ind w:firstLine="709"/>
        <w:jc w:val="both"/>
        <w:rPr>
          <w:rFonts w:ascii="Arial" w:hAnsi="Arial" w:eastAsia="Arial" w:cs="Arial"/>
          <w:sz w:val="24"/>
          <w:szCs w:val="24"/>
          <w:lang w:val="es-MX"/>
        </w:rPr>
      </w:pPr>
      <w:r w:rsidRPr="60EAF375">
        <w:rPr>
          <w:rFonts w:ascii="Arial" w:hAnsi="Arial" w:eastAsia="Arial" w:cs="Arial"/>
          <w:sz w:val="24"/>
          <w:szCs w:val="24"/>
          <w:lang w:val="es-MX"/>
        </w:rPr>
        <w:t>En contraste, el número de agresiones cometidas por mujeres también ha mostrado fluctuaciones. Se reportaron 3.086 incidentes en 2018, con un aumento a 3.788 en 2019. Sin embargo, en 2020, la cifra descendió a 3.361, y continuó disminuyendo en 2021 a 3.460. Las cifras de 2022 y 2023 reflejan una caída drástica, con 1.876 y 1.855 casos, respectivamente. Este descenso considerable podría indicar no solo una reducción en la violencia por parte de mujeres, sino también una posible sub-representación de incidentes que requieren atención.</w:t>
      </w:r>
    </w:p>
    <w:p w:rsidR="427088F9" w:rsidP="206C2CE6" w:rsidRDefault="427088F9" w14:paraId="7F517DEC" w14:textId="4B5AB3FC">
      <w:pPr>
        <w:spacing w:line="360" w:lineRule="auto"/>
        <w:ind w:firstLine="709"/>
        <w:jc w:val="both"/>
        <w:rPr>
          <w:rFonts w:ascii="Arial" w:hAnsi="Arial" w:eastAsia="Arial" w:cs="Arial"/>
          <w:sz w:val="24"/>
          <w:szCs w:val="24"/>
          <w:lang w:val="es-MX"/>
        </w:rPr>
      </w:pPr>
      <w:r w:rsidRPr="60EAF375">
        <w:rPr>
          <w:rFonts w:ascii="Arial" w:hAnsi="Arial" w:eastAsia="Arial" w:cs="Arial"/>
          <w:sz w:val="24"/>
          <w:szCs w:val="24"/>
          <w:lang w:val="es-MX"/>
        </w:rPr>
        <w:t>El contraste entre ambos géneros es notable: en 2019, los hombres representaron aproximadamente el 80% de los casos reportados, mientras que las mujeres solo constituyeron alrededor del 23%. Esta disparidad enfatiza la necesidad de comprender las dinámicas de poder en las relaciones y cómo estas afectan la perpetración de la violencia.</w:t>
      </w:r>
      <w:r w:rsidRPr="60EAF375" w:rsidR="0B251CD8">
        <w:rPr>
          <w:rFonts w:ascii="Arial" w:hAnsi="Arial" w:eastAsia="Arial" w:cs="Arial"/>
          <w:sz w:val="24"/>
          <w:szCs w:val="24"/>
          <w:lang w:val="es-MX"/>
        </w:rPr>
        <w:t xml:space="preserve"> A lo largo de los años, las mujeres han representado una mayoría constante de las víctimas, con cifras significativamente más altas que los hombres. En 2018, las mujeres fueron 9.359 (74,8%) y los hombres 3.288 (25,2%), con una diferencia del 49,6%. </w:t>
      </w:r>
      <w:r w:rsidRPr="60EAF375" w:rsidR="66D84111">
        <w:rPr>
          <w:rFonts w:ascii="Arial" w:hAnsi="Arial" w:eastAsia="Arial" w:cs="Arial"/>
          <w:sz w:val="24"/>
          <w:szCs w:val="24"/>
          <w:lang w:val="es-MX"/>
        </w:rPr>
        <w:t>Entre 2019 y 2023, las mujeres siempre fueron más víctimas que los hombres. En 2019, las mujeres fueron 11.977 (74,2%) y los hombres 4.150 (25,8%). En 2020, aunque hubo una pequeña baja, las mujeres fueron 10.904 (75,5%) y los hombres 3.616 (24,5%). En 2022, la diferencia fue mayor, con 7.535 mujeres (77,8%) y 2.266 hombres (22,2%). En 2023, las mujeres fueron 7.439 (76,5%) y los hombres 2.283 (23,5%). E</w:t>
      </w:r>
      <w:r w:rsidRPr="60EAF375" w:rsidR="2D9546CA">
        <w:rPr>
          <w:rFonts w:ascii="Arial" w:hAnsi="Arial" w:eastAsia="Arial" w:cs="Arial"/>
          <w:sz w:val="24"/>
          <w:szCs w:val="24"/>
          <w:lang w:val="es-MX"/>
        </w:rPr>
        <w:t>l promedio del porcentaje de víctimas fue: Mujeres: 76% y Hombres: 23,75%</w:t>
      </w:r>
      <w:r w:rsidRPr="60EAF375" w:rsidR="66D84111">
        <w:rPr>
          <w:rFonts w:ascii="Arial" w:hAnsi="Arial" w:eastAsia="Arial" w:cs="Arial"/>
          <w:sz w:val="24"/>
          <w:szCs w:val="24"/>
          <w:lang w:val="es-MX"/>
        </w:rPr>
        <w:t>.</w:t>
      </w:r>
    </w:p>
    <w:p w:rsidR="2ABB285E" w:rsidP="206C2CE6" w:rsidRDefault="2ABB285E" w14:paraId="6C086CDA" w14:textId="0C8B5C4D">
      <w:pPr>
        <w:spacing w:line="360" w:lineRule="auto"/>
        <w:ind w:firstLine="709"/>
        <w:jc w:val="both"/>
        <w:rPr>
          <w:rFonts w:ascii="Arial" w:hAnsi="Arial" w:eastAsia="Arial" w:cs="Arial"/>
          <w:sz w:val="24"/>
          <w:szCs w:val="24"/>
          <w:lang w:val="es-MX"/>
        </w:rPr>
      </w:pPr>
      <w:r w:rsidRPr="60EAF375">
        <w:rPr>
          <w:rFonts w:ascii="Arial" w:hAnsi="Arial" w:eastAsia="Arial" w:cs="Arial"/>
          <w:sz w:val="24"/>
          <w:szCs w:val="24"/>
          <w:lang w:val="es-MX"/>
        </w:rPr>
        <w:t xml:space="preserve">Teniendo en cuenta que las mujeres continúan siendo las principales víctimas de la violencia intrafamiliar, según datos de la Fiscalía, lo que hace necesario evaluar los factores de riesgo asociados a esta problemática. En este sentido, la revisión de literatura realizada por </w:t>
      </w:r>
      <w:r w:rsidRPr="60EAF375" w:rsidR="004F46E1">
        <w:rPr>
          <w:rFonts w:ascii="Arial" w:hAnsi="Arial" w:eastAsia="Arial" w:cs="Arial"/>
          <w:sz w:val="24"/>
          <w:szCs w:val="24"/>
          <w:lang w:val="es-MX"/>
        </w:rPr>
        <w:t xml:space="preserve">Molina </w:t>
      </w:r>
      <w:r w:rsidRPr="60EAF375">
        <w:rPr>
          <w:rFonts w:ascii="Arial" w:hAnsi="Arial" w:eastAsia="Arial" w:cs="Arial"/>
          <w:sz w:val="24"/>
          <w:szCs w:val="24"/>
          <w:lang w:val="es-MX"/>
        </w:rPr>
        <w:t>(2019) destaca que, en 15 estudios revisados</w:t>
      </w:r>
      <w:r w:rsidRPr="60EAF375" w:rsidR="065DE822">
        <w:rPr>
          <w:rFonts w:ascii="Arial" w:hAnsi="Arial" w:eastAsia="Arial" w:cs="Arial"/>
          <w:sz w:val="24"/>
          <w:szCs w:val="24"/>
          <w:lang w:val="es-MX"/>
        </w:rPr>
        <w:t xml:space="preserve"> en </w:t>
      </w:r>
      <w:r w:rsidRPr="60EAF375" w:rsidR="4E0F012D">
        <w:rPr>
          <w:rFonts w:ascii="Arial" w:hAnsi="Arial" w:eastAsia="Arial" w:cs="Arial"/>
          <w:sz w:val="24"/>
          <w:szCs w:val="24"/>
          <w:lang w:val="es-MX"/>
        </w:rPr>
        <w:t xml:space="preserve">Colombia, de </w:t>
      </w:r>
      <w:r w:rsidRPr="60EAF375" w:rsidR="69414EBD">
        <w:rPr>
          <w:rFonts w:ascii="Arial" w:hAnsi="Arial" w:eastAsia="Arial" w:cs="Arial"/>
          <w:sz w:val="24"/>
          <w:szCs w:val="24"/>
          <w:lang w:val="es-MX"/>
        </w:rPr>
        <w:t>2004 a 2015</w:t>
      </w:r>
      <w:r w:rsidRPr="60EAF375">
        <w:rPr>
          <w:rFonts w:ascii="Arial" w:hAnsi="Arial" w:eastAsia="Arial" w:cs="Arial"/>
          <w:sz w:val="24"/>
          <w:szCs w:val="24"/>
          <w:lang w:val="es-MX"/>
        </w:rPr>
        <w:t>, los motivos pasionales se mencionan como factores determinantes para la violencia física, psicológica, sexual, económica y cultural en las relaciones de pareja. Dentro de estos factores, los celos son los más recurrentes, apareciendo en todas las investigaciones consultadas. Le siguen los conflictos de pareja, presentes en diez estudios, la infidelidad en siete y el deseo de controlar a la pareja en seis. Este panorama evidencia cómo los factores emocionales y relacionales contribuyen significativamente a la perpetuación de la violencia en el ámbito conyugal.</w:t>
      </w:r>
    </w:p>
    <w:p w:rsidR="18B512C8" w:rsidP="206C2CE6" w:rsidRDefault="41EBA417" w14:paraId="0876D125" w14:textId="0D9B5FF8">
      <w:pPr>
        <w:spacing w:line="360" w:lineRule="auto"/>
        <w:ind w:firstLine="708"/>
        <w:jc w:val="both"/>
        <w:rPr>
          <w:rFonts w:ascii="Arial" w:hAnsi="Arial" w:eastAsia="Arial" w:cs="Arial"/>
          <w:sz w:val="24"/>
          <w:szCs w:val="24"/>
          <w:lang w:val="es-MX"/>
        </w:rPr>
      </w:pPr>
      <w:r w:rsidRPr="60EAF375">
        <w:rPr>
          <w:rFonts w:ascii="Arial" w:hAnsi="Arial" w:eastAsia="Arial" w:cs="Arial"/>
          <w:sz w:val="24"/>
          <w:szCs w:val="24"/>
          <w:lang w:val="es-MX"/>
        </w:rPr>
        <w:t xml:space="preserve">La relación entre el ofensor y la víctima es un aspecto esencial en la comprensión de la violencia intrafamiliar. Según datos de la Fiscalía, </w:t>
      </w:r>
      <w:r w:rsidRPr="60EAF375" w:rsidR="5AF78B66">
        <w:rPr>
          <w:rFonts w:ascii="Arial" w:hAnsi="Arial" w:eastAsia="Arial" w:cs="Arial"/>
          <w:sz w:val="24"/>
          <w:szCs w:val="24"/>
          <w:lang w:val="es-MX"/>
        </w:rPr>
        <w:t xml:space="preserve">para Bogotá, </w:t>
      </w:r>
      <w:r w:rsidRPr="60EAF375">
        <w:rPr>
          <w:rFonts w:ascii="Arial" w:hAnsi="Arial" w:eastAsia="Arial" w:cs="Arial"/>
          <w:sz w:val="24"/>
          <w:szCs w:val="24"/>
          <w:lang w:val="es-MX"/>
        </w:rPr>
        <w:t>el compañero o compañera permanente se establece como el principal agresor, con un notable aumento en las denuncias: de 1.595 casos en 2018, se elevó a 2.243 en 2019. Sin embargo, en 2020 se registró una disminución significativa a 1.376 casos, y en 2021, una reducción drástica a 607. Aunque hubo un leve aumento a 726 en 2022, la cifra se redujo nuevamente a 579 en 2023.</w:t>
      </w:r>
    </w:p>
    <w:p w:rsidR="18B512C8" w:rsidP="206C2CE6" w:rsidRDefault="163A2D33" w14:paraId="34CE27F5" w14:textId="696E1BEB">
      <w:pPr>
        <w:spacing w:line="360" w:lineRule="auto"/>
        <w:ind w:firstLine="708"/>
        <w:jc w:val="both"/>
        <w:rPr>
          <w:rFonts w:ascii="Arial" w:hAnsi="Arial" w:eastAsia="Arial" w:cs="Arial"/>
          <w:sz w:val="24"/>
          <w:szCs w:val="24"/>
          <w:lang w:val="es-MX"/>
        </w:rPr>
      </w:pPr>
      <w:r w:rsidRPr="60EAF375">
        <w:rPr>
          <w:rFonts w:ascii="Arial" w:hAnsi="Arial" w:eastAsia="Arial" w:cs="Arial"/>
          <w:sz w:val="24"/>
          <w:szCs w:val="24"/>
          <w:lang w:val="es-MX"/>
        </w:rPr>
        <w:t xml:space="preserve">De acuerdo con la Dirección de Políticas y Estrategia de la Fiscalía (2024) </w:t>
      </w:r>
      <w:r w:rsidRPr="60EAF375" w:rsidR="41EBA417">
        <w:rPr>
          <w:rFonts w:ascii="Arial" w:hAnsi="Arial" w:eastAsia="Arial" w:cs="Arial"/>
          <w:sz w:val="24"/>
          <w:szCs w:val="24"/>
          <w:lang w:val="es-MX"/>
        </w:rPr>
        <w:t xml:space="preserve">Este patrón sugiere una posible complejidad en las dinámicas de violencia en el hogar, donde factores como el contexto socioeconómico o la implementación de políticas de prevención pueden influir en las fluctuaciones de las cifras. Respecto a las víctimas, la mayoría son parejas o exparejas de los ofensores, con un aumento considerable en los casos: de 579 en 2022 a 1.226 en 2023. Este incremento resalta una tendencia preocupante que podría reflejar una mayor disposición de las víctimas a denunciar o un aumento real en la violencia. Además, el impacto de la violencia intrafamiliar en los hijos e hijas es significativo. Las cifras muestran que, aunque hubo un descenso en los casos reportados en 2021 (363), la cantidad aumentó nuevamente en 2022 (391) y 2023 (565). </w:t>
      </w:r>
    </w:p>
    <w:p w:rsidR="3F42AB88" w:rsidP="72E64C15" w:rsidRDefault="3F42AB88" w14:paraId="36D7777C" w14:textId="409AA213">
      <w:pPr>
        <w:spacing w:line="360" w:lineRule="auto"/>
        <w:ind w:firstLine="708"/>
        <w:jc w:val="both"/>
        <w:rPr>
          <w:rFonts w:ascii="Arial" w:hAnsi="Arial" w:eastAsia="Arial" w:cs="Arial"/>
          <w:sz w:val="24"/>
          <w:szCs w:val="24"/>
          <w:lang w:val="es-MX"/>
        </w:rPr>
      </w:pPr>
      <w:r w:rsidRPr="60EAF375">
        <w:rPr>
          <w:rFonts w:ascii="Arial" w:hAnsi="Arial" w:eastAsia="Arial" w:cs="Arial"/>
          <w:sz w:val="24"/>
          <w:szCs w:val="24"/>
          <w:lang w:val="es-MX"/>
        </w:rPr>
        <w:t>Aunque las estadísticas reflejan una disminución en las denuncias, esto no implica necesariamente una reducción en los casos de violencia intrafamiliar (VIF). Según</w:t>
      </w:r>
      <w:r w:rsidRPr="60EAF375" w:rsidR="7346D5AA">
        <w:rPr>
          <w:rFonts w:ascii="Arial" w:hAnsi="Arial" w:eastAsia="Arial" w:cs="Arial"/>
          <w:sz w:val="24"/>
          <w:szCs w:val="24"/>
          <w:lang w:val="es-MX"/>
        </w:rPr>
        <w:t xml:space="preserve"> </w:t>
      </w:r>
      <w:r w:rsidRPr="60EAF375" w:rsidR="598A371D">
        <w:rPr>
          <w:rFonts w:ascii="Arial" w:hAnsi="Arial" w:eastAsia="Arial" w:cs="Arial"/>
          <w:sz w:val="24"/>
          <w:szCs w:val="24"/>
          <w:lang w:val="es-MX"/>
        </w:rPr>
        <w:t xml:space="preserve">el artículo realizado en Bogotá de </w:t>
      </w:r>
      <w:proofErr w:type="spellStart"/>
      <w:r w:rsidRPr="60EAF375" w:rsidR="7346D5AA">
        <w:rPr>
          <w:rFonts w:ascii="Arial" w:hAnsi="Arial" w:eastAsia="Arial" w:cs="Arial"/>
          <w:sz w:val="24"/>
          <w:szCs w:val="24"/>
          <w:lang w:val="es-MX"/>
        </w:rPr>
        <w:t>Lafaurie</w:t>
      </w:r>
      <w:proofErr w:type="spellEnd"/>
      <w:r w:rsidRPr="60EAF375" w:rsidR="7346D5AA">
        <w:rPr>
          <w:rFonts w:ascii="Arial" w:hAnsi="Arial" w:eastAsia="Arial" w:cs="Arial"/>
          <w:sz w:val="24"/>
          <w:szCs w:val="24"/>
          <w:lang w:val="es-MX"/>
        </w:rPr>
        <w:t xml:space="preserve"> (2015)</w:t>
      </w:r>
      <w:r w:rsidRPr="60EAF375">
        <w:rPr>
          <w:rFonts w:ascii="Arial" w:hAnsi="Arial" w:eastAsia="Arial" w:cs="Arial"/>
          <w:sz w:val="24"/>
          <w:szCs w:val="24"/>
          <w:lang w:val="es-MX"/>
        </w:rPr>
        <w:t xml:space="preserve">, </w:t>
      </w:r>
      <w:r w:rsidRPr="60EAF375" w:rsidR="2FA73B06">
        <w:rPr>
          <w:rFonts w:ascii="Arial" w:hAnsi="Arial" w:eastAsia="Arial" w:cs="Arial"/>
          <w:sz w:val="24"/>
          <w:szCs w:val="24"/>
          <w:lang w:val="es-MX"/>
        </w:rPr>
        <w:t>u</w:t>
      </w:r>
      <w:r w:rsidRPr="60EAF375" w:rsidR="0F5F2BAC">
        <w:rPr>
          <w:rFonts w:ascii="Arial" w:hAnsi="Arial" w:eastAsia="Arial" w:cs="Arial"/>
          <w:sz w:val="24"/>
          <w:szCs w:val="24"/>
          <w:lang w:val="es-MX"/>
        </w:rPr>
        <w:t>n tema clave e</w:t>
      </w:r>
      <w:r w:rsidRPr="60EAF375" w:rsidR="5581A22F">
        <w:rPr>
          <w:rFonts w:ascii="Arial" w:hAnsi="Arial" w:eastAsia="Arial" w:cs="Arial"/>
          <w:sz w:val="24"/>
          <w:szCs w:val="24"/>
          <w:lang w:val="es-MX"/>
        </w:rPr>
        <w:t xml:space="preserve">n </w:t>
      </w:r>
      <w:r w:rsidRPr="60EAF375" w:rsidR="0F5F2BAC">
        <w:rPr>
          <w:rFonts w:ascii="Arial" w:hAnsi="Arial" w:eastAsia="Arial" w:cs="Arial"/>
          <w:sz w:val="24"/>
          <w:szCs w:val="24"/>
          <w:lang w:val="es-MX"/>
        </w:rPr>
        <w:t xml:space="preserve">el </w:t>
      </w:r>
      <w:proofErr w:type="spellStart"/>
      <w:r w:rsidRPr="60EAF375" w:rsidR="0F5F2BAC">
        <w:rPr>
          <w:rFonts w:ascii="Arial" w:hAnsi="Arial" w:eastAsia="Arial" w:cs="Arial"/>
          <w:sz w:val="24"/>
          <w:szCs w:val="24"/>
          <w:lang w:val="es-MX"/>
        </w:rPr>
        <w:t>subregistro</w:t>
      </w:r>
      <w:proofErr w:type="spellEnd"/>
      <w:r w:rsidRPr="60EAF375" w:rsidR="0F5F2BAC">
        <w:rPr>
          <w:rFonts w:ascii="Arial" w:hAnsi="Arial" w:eastAsia="Arial" w:cs="Arial"/>
          <w:sz w:val="24"/>
          <w:szCs w:val="24"/>
          <w:lang w:val="es-MX"/>
        </w:rPr>
        <w:t xml:space="preserve"> de las denuncias, está relacionado con la falta de sensibilización y capacitación en las instituciones encargadas de recibirlas, como las judiciales y de salud. Esto provoca que, en ocasiones, las víctimas no reciban el apoyo adecuado y, en lugar de encontrar protección, </w:t>
      </w:r>
      <w:r w:rsidRPr="60EAF375" w:rsidR="430358B2">
        <w:rPr>
          <w:rFonts w:ascii="Arial" w:hAnsi="Arial" w:eastAsia="Arial" w:cs="Arial"/>
          <w:sz w:val="24"/>
          <w:szCs w:val="24"/>
          <w:lang w:val="es-MX"/>
        </w:rPr>
        <w:t xml:space="preserve">son </w:t>
      </w:r>
      <w:proofErr w:type="spellStart"/>
      <w:r w:rsidRPr="60EAF375" w:rsidR="430358B2">
        <w:rPr>
          <w:rFonts w:ascii="Arial" w:hAnsi="Arial" w:eastAsia="Arial" w:cs="Arial"/>
          <w:sz w:val="24"/>
          <w:szCs w:val="24"/>
          <w:lang w:val="es-MX"/>
        </w:rPr>
        <w:t>revictimizadas</w:t>
      </w:r>
      <w:proofErr w:type="spellEnd"/>
      <w:r w:rsidRPr="60EAF375" w:rsidR="0F5F2BAC">
        <w:rPr>
          <w:rFonts w:ascii="Arial" w:hAnsi="Arial" w:eastAsia="Arial" w:cs="Arial"/>
          <w:sz w:val="24"/>
          <w:szCs w:val="24"/>
          <w:lang w:val="es-MX"/>
        </w:rPr>
        <w:t>. Otro aspecto relevante es la cultura patriarcal, que no solo perpetúa la violencia contra las mujeres, sino que también moldea las masculinidades, promoviendo actitudes agresivas y violentas tanto en las relaciones con las mujeres como entre los hombres. Esto se refleja en cómo se reproducen estos comportamientos de violencia de forma intergeneracional.</w:t>
      </w:r>
    </w:p>
    <w:p w:rsidR="3F42AB88" w:rsidP="206C2CE6" w:rsidRDefault="5EB646F5" w14:paraId="60ACD7A5" w14:textId="7F27647A">
      <w:pPr>
        <w:spacing w:line="360" w:lineRule="auto"/>
        <w:ind w:firstLine="708"/>
        <w:jc w:val="both"/>
        <w:rPr>
          <w:rFonts w:ascii="Arial" w:hAnsi="Arial" w:eastAsia="Arial" w:cs="Arial"/>
          <w:sz w:val="24"/>
          <w:szCs w:val="24"/>
          <w:lang w:val="es-MX"/>
        </w:rPr>
      </w:pPr>
      <w:r w:rsidRPr="60EAF375">
        <w:rPr>
          <w:rFonts w:ascii="Arial" w:hAnsi="Arial" w:eastAsia="Arial" w:cs="Arial"/>
          <w:sz w:val="24"/>
          <w:szCs w:val="24"/>
          <w:lang w:val="es-MX"/>
        </w:rPr>
        <w:t xml:space="preserve">Pineda y Otero (2004) </w:t>
      </w:r>
      <w:r w:rsidRPr="60EAF375" w:rsidR="20BB9CA0">
        <w:rPr>
          <w:rFonts w:ascii="Arial" w:hAnsi="Arial" w:eastAsia="Arial" w:cs="Arial"/>
          <w:sz w:val="24"/>
          <w:szCs w:val="24"/>
          <w:lang w:val="es-MX"/>
        </w:rPr>
        <w:t xml:space="preserve">en su investigación en Colombia, </w:t>
      </w:r>
      <w:r w:rsidRPr="60EAF375">
        <w:rPr>
          <w:rFonts w:ascii="Arial" w:hAnsi="Arial" w:eastAsia="Arial" w:cs="Arial"/>
          <w:sz w:val="24"/>
          <w:szCs w:val="24"/>
          <w:lang w:val="es-MX"/>
        </w:rPr>
        <w:t>señalan cómo las mujeres, al acudir a las comisarías en busca de ayuda, se encuentran en una desventaja estructural frente al agresor. A pesar de que muchas de ellas enfrentan situaciones de violencia, no siempre logran una protección efectiva debido a las desigualdades de poder entre las partes involucradas. El modelo de conciliación utilizado en la resolución de conflictos, que se supone debe ser imparcial, en la práctica se ve afectado por estas desigualdades. La figura del conciliador a menudo no puede mantenerse neutral debido a que las partes están en situaciones de poder muy diferentes. El agresor, que usualmente tiene el control en la relación, busca mantener su posición de poder, mientras que la víctima, por el contrario, está buscando justicia y una salida a la situación de violencia. Este desajuste en las dinámicas de poder dificulta que el proceso de conciliación sea justo.</w:t>
      </w:r>
    </w:p>
    <w:p w:rsidR="5EB646F5" w:rsidP="206C2CE6" w:rsidRDefault="5EB646F5" w14:paraId="4ADDC9CD" w14:textId="16444D1C">
      <w:pPr>
        <w:spacing w:line="360" w:lineRule="auto"/>
        <w:ind w:firstLine="708"/>
        <w:jc w:val="both"/>
        <w:rPr>
          <w:rFonts w:ascii="Arial" w:hAnsi="Arial" w:eastAsia="Arial" w:cs="Arial"/>
          <w:sz w:val="24"/>
          <w:szCs w:val="24"/>
          <w:lang w:val="es-MX"/>
        </w:rPr>
      </w:pPr>
      <w:r w:rsidRPr="60EAF375">
        <w:rPr>
          <w:rFonts w:ascii="Arial" w:hAnsi="Arial" w:eastAsia="Arial" w:cs="Arial"/>
          <w:sz w:val="24"/>
          <w:szCs w:val="24"/>
          <w:lang w:val="es-MX"/>
        </w:rPr>
        <w:t xml:space="preserve">Además, en muchos casos, cuando las víctimas buscan justicia, se les presiona para aceptar acuerdos que no garantizan una verdadera solución o protección, lo que contribuye a la baja efectividad de los acuerdos y al </w:t>
      </w:r>
      <w:proofErr w:type="spellStart"/>
      <w:r w:rsidRPr="60EAF375">
        <w:rPr>
          <w:rFonts w:ascii="Arial" w:hAnsi="Arial" w:eastAsia="Arial" w:cs="Arial"/>
          <w:sz w:val="24"/>
          <w:szCs w:val="24"/>
          <w:lang w:val="es-MX"/>
        </w:rPr>
        <w:t>subregistro</w:t>
      </w:r>
      <w:proofErr w:type="spellEnd"/>
      <w:r w:rsidRPr="60EAF375">
        <w:rPr>
          <w:rFonts w:ascii="Arial" w:hAnsi="Arial" w:eastAsia="Arial" w:cs="Arial"/>
          <w:sz w:val="24"/>
          <w:szCs w:val="24"/>
          <w:lang w:val="es-MX"/>
        </w:rPr>
        <w:t xml:space="preserve"> de las denuncias, ya que muchas mujeres se sienten obligadas a aceptar compromisos que no abordan adecuadamente la violencia sufrida. </w:t>
      </w:r>
    </w:p>
    <w:p w:rsidR="18B512C8" w:rsidP="206C2CE6" w:rsidRDefault="3F42AB88" w14:paraId="5ACD084A" w14:textId="0234DC20">
      <w:pPr>
        <w:spacing w:line="360" w:lineRule="auto"/>
        <w:ind w:firstLine="709"/>
        <w:jc w:val="both"/>
        <w:rPr>
          <w:rFonts w:ascii="Arial" w:hAnsi="Arial" w:eastAsia="Arial" w:cs="Arial"/>
          <w:sz w:val="24"/>
          <w:szCs w:val="24"/>
          <w:lang w:val="es-MX"/>
        </w:rPr>
      </w:pPr>
      <w:r w:rsidRPr="60EAF375">
        <w:rPr>
          <w:rFonts w:ascii="Arial" w:hAnsi="Arial" w:eastAsia="Arial" w:cs="Arial"/>
          <w:sz w:val="24"/>
          <w:szCs w:val="24"/>
          <w:lang w:val="es-MX"/>
        </w:rPr>
        <w:t xml:space="preserve">Asimismo, el estudio </w:t>
      </w:r>
      <w:r w:rsidRPr="60EAF375" w:rsidR="731DD1E4">
        <w:rPr>
          <w:rFonts w:ascii="Arial" w:hAnsi="Arial" w:eastAsia="Arial" w:cs="Arial"/>
          <w:sz w:val="24"/>
          <w:szCs w:val="24"/>
          <w:lang w:val="es-MX"/>
        </w:rPr>
        <w:t xml:space="preserve">anteriormente mencionado, </w:t>
      </w:r>
      <w:r w:rsidRPr="60EAF375">
        <w:rPr>
          <w:rFonts w:ascii="Arial" w:hAnsi="Arial" w:eastAsia="Arial" w:cs="Arial"/>
          <w:sz w:val="24"/>
          <w:szCs w:val="24"/>
          <w:lang w:val="es-MX"/>
        </w:rPr>
        <w:t xml:space="preserve">subraya las limitaciones en la intervención estatal y en los mecanismos de protección, lo que afecta la decisión de las víctimas de denunciar o hacerlo de manera efectiva. En consecuencia, el </w:t>
      </w:r>
      <w:proofErr w:type="spellStart"/>
      <w:r w:rsidRPr="60EAF375">
        <w:rPr>
          <w:rFonts w:ascii="Arial" w:hAnsi="Arial" w:eastAsia="Arial" w:cs="Arial"/>
          <w:sz w:val="24"/>
          <w:szCs w:val="24"/>
          <w:lang w:val="es-MX"/>
        </w:rPr>
        <w:t>subregistro</w:t>
      </w:r>
      <w:proofErr w:type="spellEnd"/>
      <w:r w:rsidRPr="60EAF375">
        <w:rPr>
          <w:rFonts w:ascii="Arial" w:hAnsi="Arial" w:eastAsia="Arial" w:cs="Arial"/>
          <w:sz w:val="24"/>
          <w:szCs w:val="24"/>
          <w:lang w:val="es-MX"/>
        </w:rPr>
        <w:t xml:space="preserve"> podría estar vinculado tanto a la desconfianza en el sistema como a las dinámicas de poder y control que prevalecen en las relaciones violentas.</w:t>
      </w:r>
      <w:r w:rsidRPr="60EAF375" w:rsidR="6691796F">
        <w:rPr>
          <w:rFonts w:ascii="Arial" w:hAnsi="Arial" w:eastAsia="Arial" w:cs="Arial"/>
          <w:sz w:val="24"/>
          <w:szCs w:val="24"/>
          <w:lang w:val="es-MX"/>
        </w:rPr>
        <w:t xml:space="preserve"> </w:t>
      </w:r>
      <w:r w:rsidRPr="60EAF375" w:rsidR="4E5E8258">
        <w:rPr>
          <w:rFonts w:ascii="Arial" w:hAnsi="Arial" w:eastAsia="Arial" w:cs="Arial"/>
          <w:sz w:val="24"/>
          <w:szCs w:val="24"/>
          <w:lang w:val="es-MX"/>
        </w:rPr>
        <w:t xml:space="preserve">En esta misma línea, Ruiz-Pérez y Pastor-Moreno (2021) advierten que </w:t>
      </w:r>
      <w:r w:rsidRPr="60EAF375" w:rsidR="4AE2BED4">
        <w:rPr>
          <w:rFonts w:ascii="Arial" w:hAnsi="Arial" w:eastAsia="Arial" w:cs="Arial"/>
          <w:sz w:val="24"/>
          <w:szCs w:val="24"/>
          <w:lang w:val="es-MX"/>
        </w:rPr>
        <w:t>después</w:t>
      </w:r>
      <w:r w:rsidRPr="60EAF375" w:rsidR="4E5E8258">
        <w:rPr>
          <w:rFonts w:ascii="Arial" w:hAnsi="Arial" w:eastAsia="Arial" w:cs="Arial"/>
          <w:sz w:val="24"/>
          <w:szCs w:val="24"/>
          <w:lang w:val="es-MX"/>
        </w:rPr>
        <w:t xml:space="preserve"> del confinamiento por </w:t>
      </w:r>
      <w:r w:rsidRPr="60EAF375" w:rsidR="1ADF4C49">
        <w:rPr>
          <w:rFonts w:ascii="Arial" w:hAnsi="Arial" w:eastAsia="Arial" w:cs="Arial"/>
          <w:sz w:val="24"/>
          <w:szCs w:val="24"/>
          <w:lang w:val="es-MX"/>
        </w:rPr>
        <w:t>pandemia</w:t>
      </w:r>
      <w:r w:rsidRPr="60EAF375" w:rsidR="4E5E8258">
        <w:rPr>
          <w:rFonts w:ascii="Arial" w:hAnsi="Arial" w:eastAsia="Arial" w:cs="Arial"/>
          <w:sz w:val="24"/>
          <w:szCs w:val="24"/>
          <w:lang w:val="es-MX"/>
        </w:rPr>
        <w:t xml:space="preserve"> han disminuido las denu</w:t>
      </w:r>
      <w:r w:rsidRPr="60EAF375" w:rsidR="545F45E5">
        <w:rPr>
          <w:rFonts w:ascii="Arial" w:hAnsi="Arial" w:eastAsia="Arial" w:cs="Arial"/>
          <w:sz w:val="24"/>
          <w:szCs w:val="24"/>
          <w:lang w:val="es-MX"/>
        </w:rPr>
        <w:t xml:space="preserve">ncias, no solo en </w:t>
      </w:r>
      <w:r w:rsidRPr="60EAF375" w:rsidR="43E2ED85">
        <w:rPr>
          <w:rFonts w:ascii="Arial" w:hAnsi="Arial" w:eastAsia="Arial" w:cs="Arial"/>
          <w:sz w:val="24"/>
          <w:szCs w:val="24"/>
          <w:lang w:val="es-MX"/>
        </w:rPr>
        <w:t>Bogotá</w:t>
      </w:r>
      <w:r w:rsidRPr="60EAF375" w:rsidR="545F45E5">
        <w:rPr>
          <w:rFonts w:ascii="Arial" w:hAnsi="Arial" w:eastAsia="Arial" w:cs="Arial"/>
          <w:sz w:val="24"/>
          <w:szCs w:val="24"/>
          <w:lang w:val="es-MX"/>
        </w:rPr>
        <w:t xml:space="preserve"> como informan las cifras de la </w:t>
      </w:r>
      <w:r w:rsidRPr="60EAF375" w:rsidR="22A391EF">
        <w:rPr>
          <w:rFonts w:ascii="Arial" w:hAnsi="Arial" w:eastAsia="Arial" w:cs="Arial"/>
          <w:sz w:val="24"/>
          <w:szCs w:val="24"/>
          <w:lang w:val="es-MX"/>
        </w:rPr>
        <w:t>Fiscalía</w:t>
      </w:r>
      <w:r w:rsidRPr="60EAF375" w:rsidR="545F45E5">
        <w:rPr>
          <w:rFonts w:ascii="Arial" w:hAnsi="Arial" w:eastAsia="Arial" w:cs="Arial"/>
          <w:sz w:val="24"/>
          <w:szCs w:val="24"/>
          <w:lang w:val="es-MX"/>
        </w:rPr>
        <w:t xml:space="preserve">, sino </w:t>
      </w:r>
      <w:r w:rsidRPr="60EAF375" w:rsidR="199EBB6D">
        <w:rPr>
          <w:rFonts w:ascii="Arial" w:hAnsi="Arial" w:eastAsia="Arial" w:cs="Arial"/>
          <w:sz w:val="24"/>
          <w:szCs w:val="24"/>
          <w:lang w:val="es-MX"/>
        </w:rPr>
        <w:t>también</w:t>
      </w:r>
      <w:r w:rsidRPr="60EAF375" w:rsidR="545F45E5">
        <w:rPr>
          <w:rFonts w:ascii="Arial" w:hAnsi="Arial" w:eastAsia="Arial" w:cs="Arial"/>
          <w:sz w:val="24"/>
          <w:szCs w:val="24"/>
          <w:lang w:val="es-MX"/>
        </w:rPr>
        <w:t xml:space="preserve"> en España con un 40% menos de denuncias. Lo que los autores analizan como </w:t>
      </w:r>
      <w:r w:rsidRPr="60EAF375" w:rsidR="07228CE1">
        <w:rPr>
          <w:rFonts w:ascii="Arial" w:hAnsi="Arial" w:eastAsia="Arial" w:cs="Arial"/>
          <w:sz w:val="24"/>
          <w:szCs w:val="24"/>
          <w:lang w:val="es-MX"/>
        </w:rPr>
        <w:t>unas posibles barreras para la denuncia y no como una disminución de la VIF</w:t>
      </w:r>
      <w:r w:rsidRPr="60EAF375" w:rsidR="4B1C1552">
        <w:rPr>
          <w:rFonts w:ascii="Arial" w:hAnsi="Arial" w:eastAsia="Arial" w:cs="Arial"/>
          <w:sz w:val="24"/>
          <w:szCs w:val="24"/>
          <w:lang w:val="es-MX"/>
        </w:rPr>
        <w:t xml:space="preserve">. </w:t>
      </w:r>
    </w:p>
    <w:p w:rsidR="582FA755" w:rsidP="206C2CE6" w:rsidRDefault="344BDFF3" w14:paraId="65D7409C" w14:textId="0C910CED">
      <w:pPr>
        <w:spacing w:line="360" w:lineRule="auto"/>
        <w:ind w:firstLine="709"/>
        <w:jc w:val="both"/>
        <w:rPr>
          <w:rFonts w:ascii="Arial" w:hAnsi="Arial" w:eastAsia="Arial" w:cs="Arial"/>
          <w:sz w:val="24"/>
          <w:szCs w:val="24"/>
          <w:lang w:val="es-MX"/>
        </w:rPr>
      </w:pPr>
      <w:r w:rsidRPr="60EAF375">
        <w:rPr>
          <w:rFonts w:ascii="Arial" w:hAnsi="Arial" w:eastAsia="Arial" w:cs="Arial"/>
          <w:sz w:val="24"/>
          <w:szCs w:val="24"/>
          <w:lang w:val="es-MX"/>
        </w:rPr>
        <w:t xml:space="preserve">Un factor </w:t>
      </w:r>
      <w:r w:rsidRPr="60EAF375" w:rsidR="5E0BA249">
        <w:rPr>
          <w:rFonts w:ascii="Arial" w:hAnsi="Arial" w:eastAsia="Arial" w:cs="Arial"/>
          <w:sz w:val="24"/>
          <w:szCs w:val="24"/>
          <w:lang w:val="es-MX"/>
        </w:rPr>
        <w:t>común</w:t>
      </w:r>
      <w:r w:rsidRPr="60EAF375">
        <w:rPr>
          <w:rFonts w:ascii="Arial" w:hAnsi="Arial" w:eastAsia="Arial" w:cs="Arial"/>
          <w:sz w:val="24"/>
          <w:szCs w:val="24"/>
          <w:lang w:val="es-MX"/>
        </w:rPr>
        <w:t xml:space="preserve"> en la </w:t>
      </w:r>
      <w:r w:rsidRPr="60EAF375" w:rsidR="2ADBA4FE">
        <w:rPr>
          <w:rFonts w:ascii="Arial" w:hAnsi="Arial" w:eastAsia="Arial" w:cs="Arial"/>
          <w:sz w:val="24"/>
          <w:szCs w:val="24"/>
          <w:lang w:val="es-MX"/>
        </w:rPr>
        <w:t>mayoría</w:t>
      </w:r>
      <w:r w:rsidRPr="60EAF375">
        <w:rPr>
          <w:rFonts w:ascii="Arial" w:hAnsi="Arial" w:eastAsia="Arial" w:cs="Arial"/>
          <w:sz w:val="24"/>
          <w:szCs w:val="24"/>
          <w:lang w:val="es-MX"/>
        </w:rPr>
        <w:t xml:space="preserve"> de la </w:t>
      </w:r>
      <w:r w:rsidRPr="60EAF375" w:rsidR="268A9FCE">
        <w:rPr>
          <w:rFonts w:ascii="Arial" w:hAnsi="Arial" w:eastAsia="Arial" w:cs="Arial"/>
          <w:sz w:val="24"/>
          <w:szCs w:val="24"/>
          <w:lang w:val="es-MX"/>
        </w:rPr>
        <w:t>bibliografía</w:t>
      </w:r>
      <w:r w:rsidRPr="60EAF375">
        <w:rPr>
          <w:rFonts w:ascii="Arial" w:hAnsi="Arial" w:eastAsia="Arial" w:cs="Arial"/>
          <w:sz w:val="24"/>
          <w:szCs w:val="24"/>
          <w:lang w:val="es-MX"/>
        </w:rPr>
        <w:t xml:space="preserve"> consultada es la importancia de trabajar desde la prevención de la VIF, por su parte la autora </w:t>
      </w:r>
      <w:proofErr w:type="spellStart"/>
      <w:r w:rsidRPr="60EAF375">
        <w:rPr>
          <w:rFonts w:ascii="Arial" w:hAnsi="Arial" w:eastAsia="Arial" w:cs="Arial"/>
          <w:sz w:val="24"/>
          <w:szCs w:val="24"/>
          <w:lang w:val="es-MX"/>
        </w:rPr>
        <w:t>Lafaurie</w:t>
      </w:r>
      <w:proofErr w:type="spellEnd"/>
      <w:r w:rsidRPr="60EAF375">
        <w:rPr>
          <w:rFonts w:ascii="Arial" w:hAnsi="Arial" w:eastAsia="Arial" w:cs="Arial"/>
          <w:sz w:val="24"/>
          <w:szCs w:val="24"/>
          <w:lang w:val="es-MX"/>
        </w:rPr>
        <w:t xml:space="preserve"> (2015) </w:t>
      </w:r>
      <w:r w:rsidRPr="60EAF375" w:rsidR="7C7C5208">
        <w:rPr>
          <w:rFonts w:ascii="Arial" w:hAnsi="Arial" w:eastAsia="Arial" w:cs="Arial"/>
          <w:sz w:val="24"/>
          <w:szCs w:val="24"/>
          <w:lang w:val="es-MX"/>
        </w:rPr>
        <w:t xml:space="preserve">a través de su investigación en Bogotá, </w:t>
      </w:r>
      <w:r w:rsidRPr="60EAF375">
        <w:rPr>
          <w:rFonts w:ascii="Arial" w:hAnsi="Arial" w:eastAsia="Arial" w:cs="Arial"/>
          <w:sz w:val="24"/>
          <w:szCs w:val="24"/>
          <w:lang w:val="es-MX"/>
        </w:rPr>
        <w:t>destaca l</w:t>
      </w:r>
      <w:r w:rsidRPr="60EAF375" w:rsidR="74007FE1">
        <w:rPr>
          <w:rFonts w:ascii="Arial" w:hAnsi="Arial" w:eastAsia="Arial" w:cs="Arial"/>
          <w:sz w:val="24"/>
          <w:szCs w:val="24"/>
          <w:lang w:val="es-MX"/>
        </w:rPr>
        <w:t>a necesidad de generar acciones decididas desde diferentes instituciones para abordar la problemática de la violencia contra las mujeres y otros grupos vulnerables en el ámbito familiar.</w:t>
      </w:r>
      <w:r w:rsidRPr="60EAF375" w:rsidR="0A3C487F">
        <w:rPr>
          <w:rFonts w:ascii="Arial" w:hAnsi="Arial" w:eastAsia="Arial" w:cs="Arial"/>
          <w:sz w:val="24"/>
          <w:szCs w:val="24"/>
          <w:lang w:val="es-MX"/>
        </w:rPr>
        <w:t xml:space="preserve"> Para esto, la autora propone tres puntos claves en los </w:t>
      </w:r>
      <w:r w:rsidRPr="60EAF375" w:rsidR="6A200FBB">
        <w:rPr>
          <w:rFonts w:ascii="Arial" w:hAnsi="Arial" w:eastAsia="Arial" w:cs="Arial"/>
          <w:sz w:val="24"/>
          <w:szCs w:val="24"/>
          <w:lang w:val="es-MX"/>
        </w:rPr>
        <w:t>programas</w:t>
      </w:r>
      <w:r w:rsidRPr="60EAF375" w:rsidR="0A3C487F">
        <w:rPr>
          <w:rFonts w:ascii="Arial" w:hAnsi="Arial" w:eastAsia="Arial" w:cs="Arial"/>
          <w:sz w:val="24"/>
          <w:szCs w:val="24"/>
          <w:lang w:val="es-MX"/>
        </w:rPr>
        <w:t xml:space="preserve"> de intervención: </w:t>
      </w:r>
      <w:r w:rsidRPr="60EAF375" w:rsidR="4FC2E7E1">
        <w:rPr>
          <w:rFonts w:ascii="Arial" w:hAnsi="Arial" w:eastAsia="Arial" w:cs="Arial"/>
          <w:sz w:val="24"/>
          <w:szCs w:val="24"/>
          <w:lang w:val="es-MX"/>
        </w:rPr>
        <w:t>p</w:t>
      </w:r>
      <w:r w:rsidRPr="60EAF375" w:rsidR="24840C66">
        <w:rPr>
          <w:rFonts w:ascii="Arial" w:hAnsi="Arial" w:eastAsia="Arial" w:cs="Arial"/>
          <w:sz w:val="24"/>
          <w:szCs w:val="24"/>
          <w:lang w:val="es-MX"/>
        </w:rPr>
        <w:t>erspectiva de género</w:t>
      </w:r>
      <w:r w:rsidRPr="60EAF375" w:rsidR="25FBBE6A">
        <w:rPr>
          <w:rFonts w:ascii="Arial" w:hAnsi="Arial" w:eastAsia="Arial" w:cs="Arial"/>
          <w:sz w:val="24"/>
          <w:szCs w:val="24"/>
          <w:lang w:val="es-MX"/>
        </w:rPr>
        <w:t>, lo que</w:t>
      </w:r>
      <w:r w:rsidRPr="60EAF375" w:rsidR="24840C66">
        <w:rPr>
          <w:rFonts w:ascii="Arial" w:hAnsi="Arial" w:eastAsia="Arial" w:cs="Arial"/>
          <w:sz w:val="24"/>
          <w:szCs w:val="24"/>
          <w:lang w:val="es-MX"/>
        </w:rPr>
        <w:t xml:space="preserve"> implica reconocer las desigualdades de género que perpetúan la violencia</w:t>
      </w:r>
      <w:r w:rsidRPr="60EAF375" w:rsidR="67B753A6">
        <w:rPr>
          <w:rFonts w:ascii="Arial" w:hAnsi="Arial" w:eastAsia="Arial" w:cs="Arial"/>
          <w:sz w:val="24"/>
          <w:szCs w:val="24"/>
          <w:lang w:val="es-MX"/>
        </w:rPr>
        <w:t xml:space="preserve">; </w:t>
      </w:r>
      <w:r w:rsidRPr="60EAF375" w:rsidR="03CF5C92">
        <w:rPr>
          <w:rFonts w:ascii="Arial" w:hAnsi="Arial" w:eastAsia="Arial" w:cs="Arial"/>
          <w:sz w:val="24"/>
          <w:szCs w:val="24"/>
          <w:lang w:val="es-MX"/>
        </w:rPr>
        <w:t xml:space="preserve">la </w:t>
      </w:r>
      <w:r w:rsidRPr="60EAF375" w:rsidR="24840C66">
        <w:rPr>
          <w:rFonts w:ascii="Arial" w:hAnsi="Arial" w:eastAsia="Arial" w:cs="Arial"/>
          <w:sz w:val="24"/>
          <w:szCs w:val="24"/>
          <w:lang w:val="es-MX"/>
        </w:rPr>
        <w:t>implementa</w:t>
      </w:r>
      <w:r w:rsidRPr="60EAF375" w:rsidR="47E169ED">
        <w:rPr>
          <w:rFonts w:ascii="Arial" w:hAnsi="Arial" w:eastAsia="Arial" w:cs="Arial"/>
          <w:sz w:val="24"/>
          <w:szCs w:val="24"/>
          <w:lang w:val="es-MX"/>
        </w:rPr>
        <w:t>ción de</w:t>
      </w:r>
      <w:r w:rsidRPr="60EAF375" w:rsidR="24840C66">
        <w:rPr>
          <w:rFonts w:ascii="Arial" w:hAnsi="Arial" w:eastAsia="Arial" w:cs="Arial"/>
          <w:sz w:val="24"/>
          <w:szCs w:val="24"/>
          <w:lang w:val="es-MX"/>
        </w:rPr>
        <w:t xml:space="preserve"> procesos formativos en las instancias de salud y judiciales para que el personal pueda manejar adecuadamente los casos de violencia intrafamiliar</w:t>
      </w:r>
      <w:r w:rsidRPr="60EAF375" w:rsidR="208290C4">
        <w:rPr>
          <w:rFonts w:ascii="Arial" w:hAnsi="Arial" w:eastAsia="Arial" w:cs="Arial"/>
          <w:sz w:val="24"/>
          <w:szCs w:val="24"/>
          <w:lang w:val="es-MX"/>
        </w:rPr>
        <w:t>; y</w:t>
      </w:r>
      <w:r w:rsidRPr="60EAF375" w:rsidR="24840C66">
        <w:rPr>
          <w:rFonts w:ascii="Arial" w:hAnsi="Arial" w:eastAsia="Arial" w:cs="Arial"/>
          <w:sz w:val="24"/>
          <w:szCs w:val="24"/>
          <w:lang w:val="es-MX"/>
        </w:rPr>
        <w:t xml:space="preserve"> </w:t>
      </w:r>
      <w:r w:rsidRPr="60EAF375" w:rsidR="76E15C59">
        <w:rPr>
          <w:rFonts w:ascii="Arial" w:hAnsi="Arial" w:eastAsia="Arial" w:cs="Arial"/>
          <w:sz w:val="24"/>
          <w:szCs w:val="24"/>
          <w:lang w:val="es-MX"/>
        </w:rPr>
        <w:t>e</w:t>
      </w:r>
      <w:r w:rsidRPr="60EAF375" w:rsidR="24840C66">
        <w:rPr>
          <w:rFonts w:ascii="Arial" w:hAnsi="Arial" w:eastAsia="Arial" w:cs="Arial"/>
          <w:sz w:val="24"/>
          <w:szCs w:val="24"/>
          <w:lang w:val="es-MX"/>
        </w:rPr>
        <w:t xml:space="preserve">l buscar nuevas estrategias para generar cambios en la cultura en torno a las relaciones de género, promoviendo la igualdad y la equidad. </w:t>
      </w:r>
    </w:p>
    <w:p w:rsidR="4396D8A1" w:rsidP="206C2CE6" w:rsidRDefault="6043B220" w14:paraId="4491DDE5" w14:textId="3E60B2CE">
      <w:pPr>
        <w:spacing w:line="360" w:lineRule="auto"/>
        <w:ind w:firstLine="709"/>
        <w:jc w:val="both"/>
        <w:rPr>
          <w:rFonts w:ascii="Arial" w:hAnsi="Arial" w:eastAsia="Arial" w:cs="Arial"/>
          <w:sz w:val="24"/>
          <w:szCs w:val="24"/>
          <w:lang w:val="es-MX"/>
        </w:rPr>
      </w:pPr>
      <w:r w:rsidRPr="60EAF375">
        <w:rPr>
          <w:rFonts w:ascii="Arial" w:hAnsi="Arial" w:eastAsia="Arial" w:cs="Arial"/>
          <w:sz w:val="24"/>
          <w:szCs w:val="24"/>
          <w:lang w:val="es-MX"/>
        </w:rPr>
        <w:t>A su vez</w:t>
      </w:r>
      <w:r w:rsidRPr="60EAF375" w:rsidR="02548E34">
        <w:rPr>
          <w:rFonts w:ascii="Arial" w:hAnsi="Arial" w:eastAsia="Arial" w:cs="Arial"/>
          <w:sz w:val="24"/>
          <w:szCs w:val="24"/>
          <w:lang w:val="es-MX"/>
        </w:rPr>
        <w:t xml:space="preserve">, </w:t>
      </w:r>
      <w:r w:rsidRPr="60EAF375" w:rsidR="1458558C">
        <w:rPr>
          <w:rFonts w:ascii="Arial" w:hAnsi="Arial" w:eastAsia="Arial" w:cs="Arial"/>
          <w:sz w:val="24"/>
          <w:szCs w:val="24"/>
          <w:lang w:val="es-MX"/>
        </w:rPr>
        <w:t xml:space="preserve">Pineda y Otero (2004) y Ruiz-Pérez y Pastor-Moreno (2021) </w:t>
      </w:r>
      <w:r w:rsidRPr="60EAF375" w:rsidR="0F438F3A">
        <w:rPr>
          <w:rFonts w:ascii="Arial" w:hAnsi="Arial" w:eastAsia="Arial" w:cs="Arial"/>
          <w:sz w:val="24"/>
          <w:szCs w:val="24"/>
          <w:lang w:val="es-MX"/>
        </w:rPr>
        <w:t>señalan que la prevención de la violencia intrafamiliar debe abordarse de manera integral, considerando factores como el aumento del desempleo, la inestabilidad laboral y la dependencia económica, ya que estos elementos contribuyen a la perpetuación de la violencia. Asimismo, destaca que la prevención efectiva de la violencia de género no es posible sin abordar las desigualdades de género y las relaciones de poder en el hogar, lo cual requiere un enfoque multidimensional que incluya la educación, la sensibilización y la promoción de la igualdad de género.</w:t>
      </w:r>
    </w:p>
    <w:p w:rsidR="22D71D15" w:rsidP="72E64C15" w:rsidRDefault="0F438F3A" w14:paraId="7B0EDBF6" w14:textId="0C71C209">
      <w:pPr>
        <w:spacing w:line="360" w:lineRule="auto"/>
        <w:ind w:firstLine="709"/>
        <w:jc w:val="both"/>
        <w:rPr>
          <w:rFonts w:ascii="Arial" w:hAnsi="Arial" w:eastAsia="Arial" w:cs="Arial"/>
          <w:sz w:val="24"/>
          <w:szCs w:val="24"/>
          <w:lang w:val="es-MX"/>
        </w:rPr>
      </w:pPr>
      <w:r w:rsidRPr="60EAF375">
        <w:rPr>
          <w:rFonts w:ascii="Arial" w:hAnsi="Arial" w:eastAsia="Arial" w:cs="Arial"/>
          <w:sz w:val="24"/>
          <w:szCs w:val="24"/>
          <w:lang w:val="es-MX"/>
        </w:rPr>
        <w:t xml:space="preserve"> Además, </w:t>
      </w:r>
      <w:r w:rsidRPr="60EAF375" w:rsidR="4531F2F9">
        <w:rPr>
          <w:rFonts w:ascii="Arial" w:hAnsi="Arial" w:eastAsia="Arial" w:cs="Arial"/>
          <w:sz w:val="24"/>
          <w:szCs w:val="24"/>
          <w:lang w:val="es-MX"/>
        </w:rPr>
        <w:t xml:space="preserve">los textos de Pineda y Otero (2004) y Ruiz-Pérez y Pastor-Moreno (2021) </w:t>
      </w:r>
      <w:r w:rsidRPr="60EAF375">
        <w:rPr>
          <w:rFonts w:ascii="Arial" w:hAnsi="Arial" w:eastAsia="Arial" w:cs="Arial"/>
          <w:sz w:val="24"/>
          <w:szCs w:val="24"/>
          <w:lang w:val="es-MX"/>
        </w:rPr>
        <w:t>señala</w:t>
      </w:r>
      <w:r w:rsidRPr="60EAF375" w:rsidR="5E2C9C46">
        <w:rPr>
          <w:rFonts w:ascii="Arial" w:hAnsi="Arial" w:eastAsia="Arial" w:cs="Arial"/>
          <w:sz w:val="24"/>
          <w:szCs w:val="24"/>
          <w:lang w:val="es-MX"/>
        </w:rPr>
        <w:t>n</w:t>
      </w:r>
      <w:r w:rsidRPr="60EAF375">
        <w:rPr>
          <w:rFonts w:ascii="Arial" w:hAnsi="Arial" w:eastAsia="Arial" w:cs="Arial"/>
          <w:sz w:val="24"/>
          <w:szCs w:val="24"/>
          <w:lang w:val="es-MX"/>
        </w:rPr>
        <w:t xml:space="preserve"> que las intervenciones públicas y los procesos de conciliación, aunque necesarios, presentan limitaciones significativas en su capacidad para prevenir y mitigar la VIF. Esto se debe a que las dinámicas familiares están influenciadas por factores estructurales como las representaciones sociales, las redes familiares y sociales, y los niveles de pobreza y vulnerabilidad de los hogares. Por lo tanto, para lograr una prevención eficaz, es imprescindible abordar las causas subyacentes de la violencia, no solo mediante intervenciones legales, sino también a través de políticas públicas que promuevan la renegociación de las relaciones familiares y el fortalecimiento de los mecanismos de protección.</w:t>
      </w:r>
    </w:p>
    <w:p w:rsidR="22D71D15" w:rsidP="206C2CE6" w:rsidRDefault="22572594" w14:paraId="781E7ADD" w14:textId="64E30004">
      <w:pPr>
        <w:spacing w:line="360" w:lineRule="auto"/>
        <w:ind w:firstLine="709"/>
        <w:jc w:val="both"/>
        <w:rPr>
          <w:rFonts w:ascii="Arial" w:hAnsi="Arial" w:eastAsia="Arial" w:cs="Arial"/>
          <w:sz w:val="24"/>
          <w:szCs w:val="24"/>
          <w:lang w:val="es-MX"/>
        </w:rPr>
      </w:pPr>
      <w:r w:rsidRPr="60EAF375">
        <w:rPr>
          <w:rFonts w:ascii="Arial" w:hAnsi="Arial" w:eastAsia="Arial" w:cs="Arial"/>
          <w:sz w:val="24"/>
          <w:szCs w:val="24"/>
          <w:lang w:val="es-MX"/>
        </w:rPr>
        <w:t>Así</w:t>
      </w:r>
      <w:r w:rsidRPr="60EAF375" w:rsidR="2A8F3C1A">
        <w:rPr>
          <w:rFonts w:ascii="Arial" w:hAnsi="Arial" w:eastAsia="Arial" w:cs="Arial"/>
          <w:sz w:val="24"/>
          <w:szCs w:val="24"/>
          <w:lang w:val="es-MX"/>
        </w:rPr>
        <w:t xml:space="preserve"> mismo, e</w:t>
      </w:r>
      <w:r w:rsidRPr="60EAF375" w:rsidR="18A2DB66">
        <w:rPr>
          <w:rFonts w:ascii="Arial" w:hAnsi="Arial" w:eastAsia="Arial" w:cs="Arial"/>
          <w:sz w:val="24"/>
          <w:szCs w:val="24"/>
          <w:lang w:val="es-MX"/>
        </w:rPr>
        <w:t>l artículo de Arce</w:t>
      </w:r>
      <w:r w:rsidRPr="60EAF375" w:rsidR="3F15A4E5">
        <w:rPr>
          <w:rFonts w:ascii="Arial" w:hAnsi="Arial" w:eastAsia="Arial" w:cs="Arial"/>
          <w:sz w:val="24"/>
          <w:szCs w:val="24"/>
          <w:lang w:val="es-MX"/>
        </w:rPr>
        <w:t>, Fariña</w:t>
      </w:r>
      <w:r w:rsidRPr="60EAF375" w:rsidR="18A2DB66">
        <w:rPr>
          <w:rFonts w:ascii="Arial" w:hAnsi="Arial" w:eastAsia="Arial" w:cs="Arial"/>
          <w:sz w:val="24"/>
          <w:szCs w:val="24"/>
          <w:lang w:val="es-MX"/>
        </w:rPr>
        <w:t xml:space="preserve"> y Novo (2014)</w:t>
      </w:r>
      <w:r w:rsidRPr="60EAF375" w:rsidR="023C75ED">
        <w:rPr>
          <w:rFonts w:ascii="Arial" w:hAnsi="Arial" w:eastAsia="Arial" w:cs="Arial"/>
          <w:sz w:val="24"/>
          <w:szCs w:val="24"/>
          <w:lang w:val="es-MX"/>
        </w:rPr>
        <w:t xml:space="preserve"> </w:t>
      </w:r>
      <w:r w:rsidRPr="60EAF375" w:rsidR="18A2DB66">
        <w:rPr>
          <w:rFonts w:ascii="Arial" w:hAnsi="Arial" w:eastAsia="Arial" w:cs="Arial"/>
          <w:sz w:val="24"/>
          <w:szCs w:val="24"/>
          <w:lang w:val="es-MX"/>
        </w:rPr>
        <w:t>analiza la orientación de las penas privativas de libertad hacia la reeducación y reinserción social</w:t>
      </w:r>
      <w:r w:rsidRPr="60EAF375" w:rsidR="01A4B2EA">
        <w:rPr>
          <w:rFonts w:ascii="Arial" w:hAnsi="Arial" w:eastAsia="Arial" w:cs="Arial"/>
          <w:sz w:val="24"/>
          <w:szCs w:val="24"/>
          <w:lang w:val="es-MX"/>
        </w:rPr>
        <w:t xml:space="preserve">; los autores señalan </w:t>
      </w:r>
      <w:r w:rsidRPr="60EAF375" w:rsidR="35509794">
        <w:rPr>
          <w:rFonts w:ascii="Arial" w:hAnsi="Arial" w:eastAsia="Arial" w:cs="Arial"/>
          <w:sz w:val="24"/>
          <w:szCs w:val="24"/>
          <w:lang w:val="es-MX"/>
        </w:rPr>
        <w:t>que,</w:t>
      </w:r>
      <w:r w:rsidRPr="60EAF375" w:rsidR="01A4B2EA">
        <w:rPr>
          <w:rFonts w:ascii="Arial" w:hAnsi="Arial" w:eastAsia="Arial" w:cs="Arial"/>
          <w:sz w:val="24"/>
          <w:szCs w:val="24"/>
          <w:lang w:val="es-MX"/>
        </w:rPr>
        <w:t xml:space="preserve"> a</w:t>
      </w:r>
      <w:r w:rsidRPr="60EAF375" w:rsidR="18A2DB66">
        <w:rPr>
          <w:rFonts w:ascii="Arial" w:hAnsi="Arial" w:eastAsia="Arial" w:cs="Arial"/>
          <w:sz w:val="24"/>
          <w:szCs w:val="24"/>
          <w:lang w:val="es-MX"/>
        </w:rPr>
        <w:t xml:space="preserve">unque existen varios modelos para explicar el comportamiento delictivo (biológicos, sociológicos y psicológicos), ninguno ha alcanzado un consenso general debido a la naturaleza multicausal de la delincuencia. </w:t>
      </w:r>
      <w:r w:rsidRPr="60EAF375" w:rsidR="72044F4F">
        <w:rPr>
          <w:rFonts w:ascii="Arial" w:hAnsi="Arial" w:eastAsia="Arial" w:cs="Arial"/>
          <w:sz w:val="24"/>
          <w:szCs w:val="24"/>
          <w:lang w:val="es-MX"/>
        </w:rPr>
        <w:t xml:space="preserve">De lo anterior que las autoras propongan </w:t>
      </w:r>
      <w:r w:rsidRPr="60EAF375" w:rsidR="18A2DB66">
        <w:rPr>
          <w:rFonts w:ascii="Arial" w:hAnsi="Arial" w:eastAsia="Arial" w:cs="Arial"/>
          <w:sz w:val="24"/>
          <w:szCs w:val="24"/>
          <w:lang w:val="es-MX"/>
        </w:rPr>
        <w:t>un enfoque integrador que agrupe los factores de riesgo en tres dimensiones: biológica, cognitiva y social, cada una con un modelo de intervención específico</w:t>
      </w:r>
      <w:r w:rsidRPr="60EAF375" w:rsidR="4243CA8E">
        <w:rPr>
          <w:rFonts w:ascii="Arial" w:hAnsi="Arial" w:eastAsia="Arial" w:cs="Arial"/>
          <w:sz w:val="24"/>
          <w:szCs w:val="24"/>
          <w:lang w:val="es-MX"/>
        </w:rPr>
        <w:t xml:space="preserve">. El articulo </w:t>
      </w:r>
      <w:r w:rsidRPr="60EAF375" w:rsidR="18A2DB66">
        <w:rPr>
          <w:rFonts w:ascii="Arial" w:hAnsi="Arial" w:eastAsia="Arial" w:cs="Arial"/>
          <w:sz w:val="24"/>
          <w:szCs w:val="24"/>
          <w:lang w:val="es-MX"/>
        </w:rPr>
        <w:t>destaca la efectividad limitada de muchos tratamientos penitenciarios, como la supervisión intensiva o la terapia de grupo, y se subraya la necesidad de centrarse en programas cognitivo-conductuales que han demostrado reducir la reincidencia entre un 10% y 20%. Estos programas entrenan habilidades cognitivas clave, como la empatía y la resolución de problemas, para mejorar la competencia del individuo en contextos de riesgo.</w:t>
      </w:r>
      <w:r w:rsidRPr="60EAF375" w:rsidR="5A296887">
        <w:rPr>
          <w:rFonts w:ascii="Arial" w:hAnsi="Arial" w:eastAsia="Arial" w:cs="Arial"/>
          <w:sz w:val="24"/>
          <w:szCs w:val="24"/>
          <w:lang w:val="es-MX"/>
        </w:rPr>
        <w:t xml:space="preserve"> Finalmente, este art</w:t>
      </w:r>
      <w:r w:rsidRPr="60EAF375" w:rsidR="3591BF58">
        <w:rPr>
          <w:rFonts w:ascii="Arial" w:hAnsi="Arial" w:eastAsia="Arial" w:cs="Arial"/>
          <w:sz w:val="24"/>
          <w:szCs w:val="24"/>
          <w:lang w:val="es-MX"/>
        </w:rPr>
        <w:t>í</w:t>
      </w:r>
      <w:r w:rsidRPr="60EAF375" w:rsidR="5A296887">
        <w:rPr>
          <w:rFonts w:ascii="Arial" w:hAnsi="Arial" w:eastAsia="Arial" w:cs="Arial"/>
          <w:sz w:val="24"/>
          <w:szCs w:val="24"/>
          <w:lang w:val="es-MX"/>
        </w:rPr>
        <w:t xml:space="preserve">culo destaca la necesidad de programas reeducativos largos y espaciados en el tiempo, enfocados en mejorar el </w:t>
      </w:r>
      <w:proofErr w:type="spellStart"/>
      <w:r w:rsidRPr="60EAF375" w:rsidR="5A296887">
        <w:rPr>
          <w:rFonts w:ascii="Arial" w:hAnsi="Arial" w:eastAsia="Arial" w:cs="Arial"/>
          <w:sz w:val="24"/>
          <w:szCs w:val="24"/>
          <w:lang w:val="es-MX"/>
        </w:rPr>
        <w:t>autoconcepto</w:t>
      </w:r>
      <w:proofErr w:type="spellEnd"/>
      <w:r w:rsidRPr="60EAF375" w:rsidR="5A296887">
        <w:rPr>
          <w:rFonts w:ascii="Arial" w:hAnsi="Arial" w:eastAsia="Arial" w:cs="Arial"/>
          <w:sz w:val="24"/>
          <w:szCs w:val="24"/>
          <w:lang w:val="es-MX"/>
        </w:rPr>
        <w:t xml:space="preserve">, estrategias de resolución de problemas y el desarrollo de la inteligencia emocional en los ofensores. </w:t>
      </w:r>
    </w:p>
    <w:p w:rsidR="76391289" w:rsidP="206C2CE6" w:rsidRDefault="7045E4FA" w14:paraId="0216BAE0" w14:textId="1D49FB83">
      <w:pPr>
        <w:spacing w:line="360" w:lineRule="auto"/>
        <w:ind w:firstLine="709"/>
        <w:jc w:val="both"/>
        <w:rPr>
          <w:rFonts w:ascii="Arial" w:hAnsi="Arial" w:eastAsia="Arial" w:cs="Arial"/>
          <w:sz w:val="24"/>
          <w:szCs w:val="24"/>
          <w:lang w:val="es-MX"/>
        </w:rPr>
      </w:pPr>
      <w:r w:rsidRPr="60EAF375">
        <w:rPr>
          <w:rFonts w:ascii="Arial" w:hAnsi="Arial" w:eastAsia="Arial" w:cs="Arial"/>
          <w:sz w:val="24"/>
          <w:szCs w:val="24"/>
          <w:lang w:val="es-MX"/>
        </w:rPr>
        <w:t xml:space="preserve">Adicionalmente al </w:t>
      </w:r>
      <w:proofErr w:type="spellStart"/>
      <w:r w:rsidRPr="60EAF375">
        <w:rPr>
          <w:rFonts w:ascii="Arial" w:hAnsi="Arial" w:eastAsia="Arial" w:cs="Arial"/>
          <w:sz w:val="24"/>
          <w:szCs w:val="24"/>
          <w:lang w:val="es-MX"/>
        </w:rPr>
        <w:t>subregistro</w:t>
      </w:r>
      <w:proofErr w:type="spellEnd"/>
      <w:r w:rsidRPr="60EAF375">
        <w:rPr>
          <w:rFonts w:ascii="Arial" w:hAnsi="Arial" w:eastAsia="Arial" w:cs="Arial"/>
          <w:sz w:val="24"/>
          <w:szCs w:val="24"/>
          <w:lang w:val="es-MX"/>
        </w:rPr>
        <w:t xml:space="preserve">, las barreras para la denuncia y la importancia de la prevención de VIF, es importante señalar los costos </w:t>
      </w:r>
      <w:r w:rsidRPr="60EAF375" w:rsidR="20D904D7">
        <w:rPr>
          <w:rFonts w:ascii="Arial" w:hAnsi="Arial" w:eastAsia="Arial" w:cs="Arial"/>
          <w:sz w:val="24"/>
          <w:szCs w:val="24"/>
          <w:lang w:val="es-MX"/>
        </w:rPr>
        <w:t xml:space="preserve">sociales y económicos que trae la VIF y que justifican la intervención de programas de atención y prevención. </w:t>
      </w:r>
      <w:r w:rsidRPr="60EAF375" w:rsidR="693D44A7">
        <w:rPr>
          <w:rFonts w:ascii="Arial" w:hAnsi="Arial" w:eastAsia="Arial" w:cs="Arial"/>
          <w:sz w:val="24"/>
          <w:szCs w:val="24"/>
          <w:lang w:val="es-MX"/>
        </w:rPr>
        <w:t>E</w:t>
      </w:r>
      <w:r w:rsidRPr="60EAF375" w:rsidR="79ABB8E4">
        <w:rPr>
          <w:rFonts w:ascii="Arial" w:hAnsi="Arial" w:eastAsia="Arial" w:cs="Arial"/>
          <w:sz w:val="24"/>
          <w:szCs w:val="24"/>
          <w:lang w:val="es-MX"/>
        </w:rPr>
        <w:t>l estudio de la violencia intrafamiliar (VIF) desde una perspectiva económica es relativamente reciente y carece de un marco teórico consolidado. Aunque algunas investigaciones han analizado las reacciones de las víctimas y la transmisión intergeneracional de la violencia, persisten vacíos en la comprensión de sus determinantes y efectos económicos. Los autores</w:t>
      </w:r>
      <w:r w:rsidRPr="60EAF375" w:rsidR="7E974358">
        <w:rPr>
          <w:rFonts w:ascii="Arial" w:hAnsi="Arial" w:eastAsia="Arial" w:cs="Arial"/>
          <w:sz w:val="24"/>
          <w:szCs w:val="24"/>
          <w:lang w:val="es-MX"/>
        </w:rPr>
        <w:t xml:space="preserve"> Ribero &amp; Sánchez (2004</w:t>
      </w:r>
      <w:r w:rsidRPr="60EAF375" w:rsidR="67329046">
        <w:rPr>
          <w:rFonts w:ascii="Arial" w:hAnsi="Arial" w:eastAsia="Arial" w:cs="Arial"/>
          <w:sz w:val="24"/>
          <w:szCs w:val="24"/>
          <w:lang w:val="es-MX"/>
        </w:rPr>
        <w:t>) s</w:t>
      </w:r>
      <w:r w:rsidRPr="60EAF375" w:rsidR="79ABB8E4">
        <w:rPr>
          <w:rFonts w:ascii="Arial" w:hAnsi="Arial" w:eastAsia="Arial" w:cs="Arial"/>
          <w:sz w:val="24"/>
          <w:szCs w:val="24"/>
          <w:lang w:val="es-MX"/>
        </w:rPr>
        <w:t>eñalan que los factores de riesgo como el consumo de alcohol y las dificultades económicas aumentan la probabilidad de maltrato, especialmente en hogares con bajos niveles educativos y mayores índices de pobreza. Además, estiman que los costos de la VIF en Colombia representan un porcentaje significativo del PIB, lo que refleja tanto pérdidas en productividad como gastos en salud. A pesar de estos hallazgos, aún falta una medición precisa de los costos y un análisis más profundo de sus impactos a largo plazo (Ribero &amp; Sánchez, 2004).</w:t>
      </w:r>
    </w:p>
    <w:p w:rsidR="6E9C5AEF" w:rsidP="206C2CE6" w:rsidRDefault="1A124A31" w14:paraId="2A4DC4CA" w14:textId="0AA1A5B7">
      <w:pPr>
        <w:spacing w:line="360" w:lineRule="auto"/>
        <w:ind w:firstLine="709"/>
        <w:jc w:val="both"/>
        <w:rPr>
          <w:rFonts w:ascii="Arial" w:hAnsi="Arial" w:eastAsia="Arial" w:cs="Arial"/>
          <w:sz w:val="24"/>
          <w:szCs w:val="24"/>
          <w:lang w:val="es-MX"/>
        </w:rPr>
      </w:pPr>
      <w:r w:rsidRPr="60EAF375">
        <w:rPr>
          <w:rFonts w:ascii="Arial" w:hAnsi="Arial" w:eastAsia="Arial" w:cs="Arial"/>
          <w:sz w:val="24"/>
          <w:szCs w:val="24"/>
          <w:lang w:val="es-MX"/>
        </w:rPr>
        <w:t>Ribero y Sánchez (2004) examinan los efectos</w:t>
      </w:r>
      <w:r w:rsidRPr="60EAF375" w:rsidR="6D37656B">
        <w:rPr>
          <w:rFonts w:ascii="Arial" w:hAnsi="Arial" w:eastAsia="Arial" w:cs="Arial"/>
          <w:sz w:val="24"/>
          <w:szCs w:val="24"/>
          <w:lang w:val="es-MX"/>
        </w:rPr>
        <w:t xml:space="preserve"> económicos</w:t>
      </w:r>
      <w:r w:rsidRPr="60EAF375">
        <w:rPr>
          <w:rFonts w:ascii="Arial" w:hAnsi="Arial" w:eastAsia="Arial" w:cs="Arial"/>
          <w:sz w:val="24"/>
          <w:szCs w:val="24"/>
          <w:lang w:val="es-MX"/>
        </w:rPr>
        <w:t xml:space="preserve"> de la violencia intrafamiliar (VIF) en Colombia, enfocándose en cómo esta influye en el bienestar de los hogares en términos de ingresos laborales, desempleo, salud y educación. Los resultados muestran que la VIF reduce significativamente los ingresos de las mujeres y aumenta su desempleo, particularmente en casos de violencia severa. Además, la violencia afecta negativamente la salud de los niños y las mujeres, así como el desempeño escolar, generando atrasos educativos. Estos impactos se traducen en costos económicos sustanciales, estimados en alrededor del 3.4% del PIB de 2003, debido principalmente a la reducción de ingresos laborales y el aumento del desempleo femenino. Para medir estos efectos, los autores emplearon una metodología no paramétrica de "</w:t>
      </w:r>
      <w:proofErr w:type="spellStart"/>
      <w:r w:rsidRPr="60EAF375">
        <w:rPr>
          <w:rFonts w:ascii="Arial" w:hAnsi="Arial" w:eastAsia="Arial" w:cs="Arial"/>
          <w:sz w:val="24"/>
          <w:szCs w:val="24"/>
          <w:lang w:val="es-MX"/>
        </w:rPr>
        <w:t>matching</w:t>
      </w:r>
      <w:proofErr w:type="spellEnd"/>
      <w:r w:rsidRPr="60EAF375">
        <w:rPr>
          <w:rFonts w:ascii="Arial" w:hAnsi="Arial" w:eastAsia="Arial" w:cs="Arial"/>
          <w:sz w:val="24"/>
          <w:szCs w:val="24"/>
          <w:lang w:val="es-MX"/>
        </w:rPr>
        <w:t xml:space="preserve"> </w:t>
      </w:r>
      <w:proofErr w:type="spellStart"/>
      <w:r w:rsidRPr="60EAF375">
        <w:rPr>
          <w:rFonts w:ascii="Arial" w:hAnsi="Arial" w:eastAsia="Arial" w:cs="Arial"/>
          <w:sz w:val="24"/>
          <w:szCs w:val="24"/>
          <w:lang w:val="es-MX"/>
        </w:rPr>
        <w:t>estimators</w:t>
      </w:r>
      <w:proofErr w:type="spellEnd"/>
      <w:r w:rsidRPr="60EAF375">
        <w:rPr>
          <w:rFonts w:ascii="Arial" w:hAnsi="Arial" w:eastAsia="Arial" w:cs="Arial"/>
          <w:sz w:val="24"/>
          <w:szCs w:val="24"/>
          <w:lang w:val="es-MX"/>
        </w:rPr>
        <w:t>", lo que permite comparar hogares con y sin violencia, controlando por variables como educación, riqueza y ubicación geográfica, y calcular así el impacto directo de la VIF sobre diferentes variables de bienestar.</w:t>
      </w:r>
    </w:p>
    <w:p w:rsidR="67589F2A" w:rsidP="206C2CE6" w:rsidRDefault="36377AC2" w14:paraId="18CDFC61" w14:textId="783259E8">
      <w:pPr>
        <w:spacing w:line="360" w:lineRule="auto"/>
        <w:ind w:firstLine="709"/>
        <w:jc w:val="both"/>
        <w:rPr>
          <w:rFonts w:ascii="Arial" w:hAnsi="Arial" w:eastAsia="Arial" w:cs="Arial"/>
          <w:sz w:val="24"/>
          <w:szCs w:val="24"/>
          <w:lang w:val="es-MX"/>
        </w:rPr>
      </w:pPr>
      <w:r w:rsidRPr="60EAF375">
        <w:rPr>
          <w:rFonts w:ascii="Arial" w:hAnsi="Arial" w:eastAsia="Arial" w:cs="Arial"/>
          <w:sz w:val="24"/>
          <w:szCs w:val="24"/>
          <w:lang w:val="es-MX"/>
        </w:rPr>
        <w:t xml:space="preserve">Es </w:t>
      </w:r>
      <w:r w:rsidRPr="60EAF375" w:rsidR="060B300E">
        <w:rPr>
          <w:rFonts w:ascii="Arial" w:hAnsi="Arial" w:eastAsia="Arial" w:cs="Arial"/>
          <w:sz w:val="24"/>
          <w:szCs w:val="24"/>
          <w:lang w:val="es-MX"/>
        </w:rPr>
        <w:t>así</w:t>
      </w:r>
      <w:r w:rsidRPr="60EAF375">
        <w:rPr>
          <w:rFonts w:ascii="Arial" w:hAnsi="Arial" w:eastAsia="Arial" w:cs="Arial"/>
          <w:sz w:val="24"/>
          <w:szCs w:val="24"/>
          <w:lang w:val="es-MX"/>
        </w:rPr>
        <w:t xml:space="preserve"> como, </w:t>
      </w:r>
      <w:r w:rsidRPr="60EAF375" w:rsidR="528727EF">
        <w:rPr>
          <w:rFonts w:ascii="Arial" w:hAnsi="Arial" w:eastAsia="Arial" w:cs="Arial"/>
          <w:sz w:val="24"/>
          <w:szCs w:val="24"/>
          <w:lang w:val="es-MX"/>
        </w:rPr>
        <w:t>Vara-Horna (2019) ha</w:t>
      </w:r>
      <w:r w:rsidRPr="60EAF375" w:rsidR="205DF051">
        <w:rPr>
          <w:rFonts w:ascii="Arial" w:hAnsi="Arial" w:eastAsia="Arial" w:cs="Arial"/>
          <w:sz w:val="24"/>
          <w:szCs w:val="24"/>
          <w:lang w:val="es-MX"/>
        </w:rPr>
        <w:t xml:space="preserve"> documentado los </w:t>
      </w:r>
      <w:r w:rsidRPr="60EAF375" w:rsidR="5C5A4744">
        <w:rPr>
          <w:rFonts w:ascii="Arial" w:hAnsi="Arial" w:eastAsia="Arial" w:cs="Arial"/>
          <w:sz w:val="24"/>
          <w:szCs w:val="24"/>
          <w:lang w:val="es-MX"/>
        </w:rPr>
        <w:t>costos</w:t>
      </w:r>
      <w:r w:rsidRPr="60EAF375" w:rsidR="205DF051">
        <w:rPr>
          <w:rFonts w:ascii="Arial" w:hAnsi="Arial" w:eastAsia="Arial" w:cs="Arial"/>
          <w:sz w:val="24"/>
          <w:szCs w:val="24"/>
          <w:lang w:val="es-MX"/>
        </w:rPr>
        <w:t xml:space="preserve"> de la violencia contra las mujeres (VCM) </w:t>
      </w:r>
      <w:r w:rsidRPr="60EAF375" w:rsidR="7E93D302">
        <w:rPr>
          <w:rFonts w:ascii="Arial" w:hAnsi="Arial" w:eastAsia="Arial" w:cs="Arial"/>
          <w:sz w:val="24"/>
          <w:szCs w:val="24"/>
          <w:lang w:val="es-MX"/>
        </w:rPr>
        <w:t xml:space="preserve">en Perú, </w:t>
      </w:r>
      <w:r w:rsidRPr="60EAF375" w:rsidR="205DF051">
        <w:rPr>
          <w:rFonts w:ascii="Arial" w:hAnsi="Arial" w:eastAsia="Arial" w:cs="Arial"/>
          <w:sz w:val="24"/>
          <w:szCs w:val="24"/>
          <w:lang w:val="es-MX"/>
        </w:rPr>
        <w:t>en el ámbito laboral, destacando un aumento en el ausentismo, retrasos, bajo rendimiento y una alta rotación de personal. La</w:t>
      </w:r>
      <w:r w:rsidRPr="60EAF375" w:rsidR="6DA8E5FE">
        <w:rPr>
          <w:rFonts w:ascii="Arial" w:hAnsi="Arial" w:eastAsia="Arial" w:cs="Arial"/>
          <w:sz w:val="24"/>
          <w:szCs w:val="24"/>
          <w:lang w:val="es-MX"/>
        </w:rPr>
        <w:t xml:space="preserve">s victimas </w:t>
      </w:r>
      <w:r w:rsidRPr="60EAF375" w:rsidR="205DF051">
        <w:rPr>
          <w:rFonts w:ascii="Arial" w:hAnsi="Arial" w:eastAsia="Arial" w:cs="Arial"/>
          <w:sz w:val="24"/>
          <w:szCs w:val="24"/>
          <w:lang w:val="es-MX"/>
        </w:rPr>
        <w:t xml:space="preserve">pierden en promedio 24 días laborales al año, una cifra inferior a los 33.9 días reportados en Estados Unidos. Se estima que la </w:t>
      </w:r>
      <w:r w:rsidRPr="60EAF375" w:rsidR="1450F699">
        <w:rPr>
          <w:rFonts w:ascii="Arial" w:hAnsi="Arial" w:eastAsia="Arial" w:cs="Arial"/>
          <w:sz w:val="24"/>
          <w:szCs w:val="24"/>
          <w:lang w:val="es-MX"/>
        </w:rPr>
        <w:t xml:space="preserve">cifra </w:t>
      </w:r>
      <w:r w:rsidRPr="60EAF375" w:rsidR="205DF051">
        <w:rPr>
          <w:rFonts w:ascii="Arial" w:hAnsi="Arial" w:eastAsia="Arial" w:cs="Arial"/>
          <w:sz w:val="24"/>
          <w:szCs w:val="24"/>
          <w:lang w:val="es-MX"/>
        </w:rPr>
        <w:t>contribuye a aproximadamente el 17% del ausentismo total en las organizaciones.</w:t>
      </w:r>
      <w:r w:rsidRPr="60EAF375" w:rsidR="2D41084B">
        <w:rPr>
          <w:rFonts w:ascii="Arial" w:hAnsi="Arial" w:eastAsia="Arial" w:cs="Arial"/>
          <w:sz w:val="24"/>
          <w:szCs w:val="24"/>
          <w:lang w:val="es-MX"/>
        </w:rPr>
        <w:t xml:space="preserve"> </w:t>
      </w:r>
      <w:r w:rsidRPr="60EAF375" w:rsidR="205DF051">
        <w:rPr>
          <w:rFonts w:ascii="Arial" w:hAnsi="Arial" w:eastAsia="Arial" w:cs="Arial"/>
          <w:sz w:val="24"/>
          <w:szCs w:val="24"/>
          <w:lang w:val="es-MX"/>
        </w:rPr>
        <w:t>En Perú, se calcula que las víctimas pierden entre 1,150 y 1,500 soles anuales en ingresos, con un mayor impacto en los hogares no pobres. Otro factor relevante es el "</w:t>
      </w:r>
      <w:proofErr w:type="spellStart"/>
      <w:r w:rsidRPr="60EAF375" w:rsidR="205DF051">
        <w:rPr>
          <w:rFonts w:ascii="Arial" w:hAnsi="Arial" w:eastAsia="Arial" w:cs="Arial"/>
          <w:sz w:val="24"/>
          <w:szCs w:val="24"/>
          <w:lang w:val="es-MX"/>
        </w:rPr>
        <w:t>presentismo</w:t>
      </w:r>
      <w:proofErr w:type="spellEnd"/>
      <w:r w:rsidRPr="60EAF375" w:rsidR="205DF051">
        <w:rPr>
          <w:rFonts w:ascii="Arial" w:hAnsi="Arial" w:eastAsia="Arial" w:cs="Arial"/>
          <w:sz w:val="24"/>
          <w:szCs w:val="24"/>
          <w:lang w:val="es-MX"/>
        </w:rPr>
        <w:t xml:space="preserve">", es decir, trabajar sin estar en condiciones óptimas, lo cual genera un costo significativo para las empresas. Asimismo, la rotación de personal es notablemente más alta en empresas afectadas por </w:t>
      </w:r>
      <w:r w:rsidRPr="60EAF375" w:rsidR="3626B35A">
        <w:rPr>
          <w:rFonts w:ascii="Arial" w:hAnsi="Arial" w:eastAsia="Arial" w:cs="Arial"/>
          <w:sz w:val="24"/>
          <w:szCs w:val="24"/>
          <w:lang w:val="es-MX"/>
        </w:rPr>
        <w:t>esta violencia</w:t>
      </w:r>
      <w:r w:rsidRPr="60EAF375" w:rsidR="205DF051">
        <w:rPr>
          <w:rFonts w:ascii="Arial" w:hAnsi="Arial" w:eastAsia="Arial" w:cs="Arial"/>
          <w:sz w:val="24"/>
          <w:szCs w:val="24"/>
          <w:lang w:val="es-MX"/>
        </w:rPr>
        <w:t>; por cada mujer reemplazada en estos entornos, siete lo son en empresas sin este problema. Esta dinámica implica una pérdida anual de 18 millones de dólares en costos de contratación y días improductivos, además de contribuir a que 71,374 mujeres despedidas permanezcan desempleadas.</w:t>
      </w:r>
    </w:p>
    <w:p w:rsidR="01908518" w:rsidP="206C2CE6" w:rsidRDefault="01908518" w14:paraId="53F77B01" w14:textId="6F02F55E">
      <w:pPr>
        <w:spacing w:line="360" w:lineRule="auto"/>
        <w:ind w:firstLine="709"/>
        <w:jc w:val="both"/>
        <w:rPr>
          <w:rFonts w:ascii="Arial" w:hAnsi="Arial" w:eastAsia="Arial" w:cs="Arial"/>
          <w:sz w:val="24"/>
          <w:szCs w:val="24"/>
          <w:lang w:val="es-MX"/>
        </w:rPr>
      </w:pPr>
      <w:r w:rsidRPr="60EAF375">
        <w:rPr>
          <w:rFonts w:ascii="Arial" w:hAnsi="Arial" w:eastAsia="Arial" w:cs="Arial"/>
          <w:sz w:val="24"/>
          <w:szCs w:val="24"/>
          <w:lang w:val="es-MX"/>
        </w:rPr>
        <w:t xml:space="preserve">En relación con los costos para el Estado en Colombia, Ribero y Sánchez (2004) afirman que los costos asociados a la prevención, detección y atención de la violencia intrafamiliar abarcan los gastos que diversas entidades estatales incurrieron en el año 2002. </w:t>
      </w:r>
      <w:r w:rsidRPr="60EAF375" w:rsidR="0F312DEC">
        <w:rPr>
          <w:rFonts w:ascii="Arial" w:hAnsi="Arial" w:eastAsia="Arial" w:cs="Arial"/>
          <w:sz w:val="24"/>
          <w:szCs w:val="24"/>
          <w:lang w:val="es-MX"/>
        </w:rPr>
        <w:t>En 2002, los proyectos vinculados a la violencia intrafamiliar sumaron aproximadamente 110 mil millones de pesos, representando un 12,2 % del gasto total del ICBF en inversiones durante ese año.</w:t>
      </w:r>
      <w:r w:rsidRPr="60EAF375" w:rsidR="79A12FB2">
        <w:rPr>
          <w:rFonts w:ascii="Arial" w:hAnsi="Arial" w:eastAsia="Arial" w:cs="Arial"/>
          <w:sz w:val="24"/>
          <w:szCs w:val="24"/>
          <w:lang w:val="es-MX"/>
        </w:rPr>
        <w:t xml:space="preserve"> </w:t>
      </w:r>
      <w:r w:rsidRPr="60EAF375">
        <w:rPr>
          <w:rFonts w:ascii="Arial" w:hAnsi="Arial" w:eastAsia="Arial" w:cs="Arial"/>
          <w:sz w:val="24"/>
          <w:szCs w:val="24"/>
          <w:lang w:val="es-MX"/>
        </w:rPr>
        <w:t xml:space="preserve">El componente de prevención buscó generar un cambio en la percepción social sobre la violencia, mientras que la detección temprana se centró en programas de vigilancia en salud pública para identificar a personas o familias en riesgo. Por su parte, los componentes de atención y transformación institucional se orientaron a proporcionar asistencia integral tanto a víctimas como a agresores, así como a mejorar la capacidad de respuesta de las instituciones involucradas. </w:t>
      </w:r>
    </w:p>
    <w:p w:rsidR="01908518" w:rsidP="206C2CE6" w:rsidRDefault="443C0DB9" w14:paraId="7E5CE0E7" w14:textId="5CDD0DE4">
      <w:pPr>
        <w:spacing w:line="360" w:lineRule="auto"/>
        <w:ind w:firstLine="709"/>
        <w:jc w:val="both"/>
        <w:rPr>
          <w:rFonts w:ascii="Arial" w:hAnsi="Arial" w:eastAsia="Arial" w:cs="Arial"/>
          <w:sz w:val="24"/>
          <w:szCs w:val="24"/>
          <w:lang w:val="es-MX"/>
        </w:rPr>
      </w:pPr>
      <w:r w:rsidRPr="60EAF375">
        <w:rPr>
          <w:rFonts w:ascii="Arial" w:hAnsi="Arial" w:eastAsia="Arial" w:cs="Arial"/>
          <w:sz w:val="24"/>
          <w:szCs w:val="24"/>
          <w:lang w:val="es-MX"/>
        </w:rPr>
        <w:t xml:space="preserve"> El Instituto Nacional de Medicina Legal y Ciencias Forenses (INML) también desempeñó un papel relevante, realizando 64,979 dictámenes de lesiones personales relacionados con denuncias de violencia intrafamiliar. Se estimó que los costos directos e indirectos asociados a esta problemática representaron más del 18% del presupuesto del INML, lo que equivale a cerca de 16.5 mil millones de pesos.</w:t>
      </w:r>
      <w:r w:rsidRPr="60EAF375" w:rsidR="0EFACB42">
        <w:rPr>
          <w:rFonts w:ascii="Arial" w:hAnsi="Arial" w:eastAsia="Arial" w:cs="Arial"/>
          <w:sz w:val="24"/>
          <w:szCs w:val="24"/>
          <w:lang w:val="es-MX"/>
        </w:rPr>
        <w:t xml:space="preserve"> </w:t>
      </w:r>
      <w:r w:rsidRPr="60EAF375">
        <w:rPr>
          <w:rFonts w:ascii="Arial" w:hAnsi="Arial" w:eastAsia="Arial" w:cs="Arial"/>
          <w:sz w:val="24"/>
          <w:szCs w:val="24"/>
          <w:lang w:val="es-MX"/>
        </w:rPr>
        <w:t xml:space="preserve">Por otro lado, la </w:t>
      </w:r>
      <w:r w:rsidRPr="60EAF375" w:rsidR="3501030E">
        <w:rPr>
          <w:rFonts w:ascii="Arial" w:hAnsi="Arial" w:eastAsia="Arial" w:cs="Arial"/>
          <w:sz w:val="24"/>
          <w:szCs w:val="24"/>
          <w:lang w:val="es-MX"/>
        </w:rPr>
        <w:t>fiscalía general</w:t>
      </w:r>
      <w:r w:rsidRPr="60EAF375">
        <w:rPr>
          <w:rFonts w:ascii="Arial" w:hAnsi="Arial" w:eastAsia="Arial" w:cs="Arial"/>
          <w:sz w:val="24"/>
          <w:szCs w:val="24"/>
          <w:lang w:val="es-MX"/>
        </w:rPr>
        <w:t xml:space="preserve"> de la Nación registró costos considerables vinculados a casos de violencia intrafamiliar, con un total de 86,231 casos reportados en 2002, lo que representó alrededor del 6% del presupuesto total de la entidad. Adicionalmente, la Secretaría de Gobierno de Bogotá destinó más de mil millones de pesos a estudios, capacitación y equipamiento de comisarías de familia, que actúan como autoridades de policía en estos casos. En conjunto, se estima que todos estos costos directos representaron aproximadamente el 0.6% del presupuesto total del gobierno nacional en 2002</w:t>
      </w:r>
      <w:r w:rsidRPr="60EAF375" w:rsidR="21B3F60A">
        <w:rPr>
          <w:rFonts w:ascii="Arial" w:hAnsi="Arial" w:eastAsia="Arial" w:cs="Arial"/>
          <w:sz w:val="24"/>
          <w:szCs w:val="24"/>
          <w:lang w:val="es-MX"/>
        </w:rPr>
        <w:t xml:space="preserve"> (Ribero &amp; Sánchez, 2004).</w:t>
      </w:r>
    </w:p>
    <w:p w:rsidR="7376D5F3" w:rsidP="206C2CE6" w:rsidRDefault="7376D5F3" w14:paraId="7E91B0C5" w14:textId="51A614C5">
      <w:pPr>
        <w:spacing w:line="360" w:lineRule="auto"/>
        <w:ind w:firstLine="709"/>
        <w:jc w:val="both"/>
        <w:rPr>
          <w:rFonts w:ascii="Arial" w:hAnsi="Arial" w:eastAsia="Arial" w:cs="Arial"/>
          <w:sz w:val="24"/>
          <w:szCs w:val="24"/>
          <w:lang w:val="es-MX"/>
        </w:rPr>
      </w:pPr>
      <w:r w:rsidRPr="60EAF375">
        <w:rPr>
          <w:rFonts w:ascii="Arial" w:hAnsi="Arial" w:eastAsia="Arial" w:cs="Arial"/>
          <w:sz w:val="24"/>
          <w:szCs w:val="24"/>
          <w:lang w:val="es-MX"/>
        </w:rPr>
        <w:t xml:space="preserve">Para comprender la problemática de la violencia intrafamiliar (VIF), es fundamental identificar sus posibles causas. Según Barrientos y Salinas (2013), en su investigación sobre las dinámicas de la VIF en Medellín, se evidencian diferencias significativas en la incidencia de episodios de violencia en función del estrato social. Factores como el desempleo, el hacinamiento y el consumo de alcohol se correlacionan con un aumento en la probabilidad de que se produzcan actos de violencia, mientras que un mayor gasto en alimentación y bienestar se asocia con una disminución en esta probabilidad.   </w:t>
      </w:r>
    </w:p>
    <w:p w:rsidR="7376D5F3" w:rsidP="206C2CE6" w:rsidRDefault="7376D5F3" w14:paraId="7FE15982" w14:textId="3B58061C">
      <w:pPr>
        <w:spacing w:line="360" w:lineRule="auto"/>
        <w:ind w:firstLine="709"/>
        <w:jc w:val="both"/>
        <w:rPr>
          <w:rFonts w:ascii="Arial" w:hAnsi="Arial" w:eastAsia="Arial" w:cs="Arial"/>
          <w:sz w:val="24"/>
          <w:szCs w:val="24"/>
          <w:lang w:val="es-MX"/>
        </w:rPr>
      </w:pPr>
      <w:r w:rsidRPr="60EAF375">
        <w:rPr>
          <w:rFonts w:ascii="Arial" w:hAnsi="Arial" w:eastAsia="Arial" w:cs="Arial"/>
          <w:sz w:val="24"/>
          <w:szCs w:val="24"/>
          <w:lang w:val="es-MX"/>
        </w:rPr>
        <w:t xml:space="preserve">Los autores subrayan que los hogares encabezados por hombres presentan un 3.2% más de probabilidades de reportar casos de violencia intrafamiliar en comparación con aquellos dirigidos por mujeres. El hacinamiento, entendido como el número de personas por habitación, también se </w:t>
      </w:r>
      <w:r w:rsidRPr="60EAF375" w:rsidR="7DCA93B9">
        <w:rPr>
          <w:rFonts w:ascii="Arial" w:hAnsi="Arial" w:eastAsia="Arial" w:cs="Arial"/>
          <w:sz w:val="24"/>
          <w:szCs w:val="24"/>
          <w:lang w:val="es-MX"/>
        </w:rPr>
        <w:t>define</w:t>
      </w:r>
      <w:r w:rsidRPr="60EAF375">
        <w:rPr>
          <w:rFonts w:ascii="Arial" w:hAnsi="Arial" w:eastAsia="Arial" w:cs="Arial"/>
          <w:sz w:val="24"/>
          <w:szCs w:val="24"/>
          <w:lang w:val="es-MX"/>
        </w:rPr>
        <w:t xml:space="preserve"> como un factor de riesgo significativo; un incremento de una persona por habitación incrementa la probabilidad de episodios de violencia en un 2%. Asimismo, el consumo excesivo de alcohol se relaciona de manera contundente con la violencia: los hogares donde se consume alcohol hasta la ebriedad tienen un 6% más de probabilidad de experimentar episodios violentos en comparación con aquellos donde el consumo es moderado. Además, los hogares que fuman presentan un 2% más de probabilidad de incidentes violentos. </w:t>
      </w:r>
    </w:p>
    <w:p w:rsidR="7376D5F3" w:rsidP="206C2CE6" w:rsidRDefault="7376D5F3" w14:paraId="6B059843" w14:textId="6998D5F3">
      <w:pPr>
        <w:spacing w:line="360" w:lineRule="auto"/>
        <w:ind w:firstLine="709"/>
        <w:jc w:val="both"/>
        <w:rPr>
          <w:rFonts w:ascii="Arial" w:hAnsi="Arial" w:eastAsia="Arial" w:cs="Arial"/>
          <w:sz w:val="24"/>
          <w:szCs w:val="24"/>
          <w:lang w:val="es-MX"/>
        </w:rPr>
      </w:pPr>
      <w:r w:rsidRPr="60EAF375">
        <w:rPr>
          <w:rFonts w:ascii="Arial" w:hAnsi="Arial" w:eastAsia="Arial" w:cs="Arial"/>
          <w:sz w:val="24"/>
          <w:szCs w:val="24"/>
          <w:lang w:val="es-MX"/>
        </w:rPr>
        <w:t xml:space="preserve">  El estatus laboral del jefe de hogar es otro factor crucial: los hogares con un jefe desempleado muestran un 6% más de probabilidad de enfrentar actos violentos. Por otro lado, aquellos en los que el jefe se encuentra inactivo presentan un 1.2% menos de probabilidad de violencia. Se ha observado también que una mayor educación del jefe de hogar y un mayor gasto total del hogar están asociados con una reducción en la probabilidad de violencia. Curiosamente, los hogares en estado de matrimonio tienen un 5% más de probabilidad de presentar episodios violentos en comparación con aquellos en unión libre, mientras que los hogares pertenecientes a estratos socioeconómicos 5 y 6 exhiben un 8.2% menos de probabilidad de violencia en comparación con aquellos en estrato 1. </w:t>
      </w:r>
    </w:p>
    <w:p w:rsidR="7376D5F3" w:rsidP="206C2CE6" w:rsidRDefault="7376D5F3" w14:paraId="09E386C3" w14:textId="5F1E54F0">
      <w:pPr>
        <w:spacing w:line="360" w:lineRule="auto"/>
        <w:ind w:firstLine="709"/>
        <w:jc w:val="both"/>
        <w:rPr>
          <w:rFonts w:ascii="Arial" w:hAnsi="Arial" w:eastAsia="Arial" w:cs="Arial"/>
          <w:sz w:val="24"/>
          <w:szCs w:val="24"/>
          <w:lang w:val="es-MX"/>
        </w:rPr>
      </w:pPr>
      <w:r w:rsidRPr="60EAF375">
        <w:rPr>
          <w:rFonts w:ascii="Arial" w:hAnsi="Arial" w:eastAsia="Arial" w:cs="Arial"/>
          <w:sz w:val="24"/>
          <w:szCs w:val="24"/>
          <w:lang w:val="es-MX"/>
        </w:rPr>
        <w:t xml:space="preserve">  Por último, el análisis revela que el 15% de los hogares en estrato 1 reportan consumo excesivo de alcohol, con un 7.2% que ha experimentado violencia intrafamiliar. En contraste, el 9% de los hogares en estrato 6 consume alcohol hasta la ebriedad, y de estos, el 6% ha sufrido episodios de violencia. Esto indica que es dos veces más probable encontrar casos de violencia en hogares de estrato 1 en relación con el consumo de alcohol </w:t>
      </w:r>
      <w:r w:rsidRPr="60EAF375" w:rsidR="1CEC6476">
        <w:rPr>
          <w:rFonts w:ascii="Arial" w:hAnsi="Arial" w:eastAsia="Arial" w:cs="Arial"/>
          <w:sz w:val="24"/>
          <w:szCs w:val="24"/>
          <w:lang w:val="es-MX"/>
        </w:rPr>
        <w:t>(Barrientos y salinas, 2013)</w:t>
      </w:r>
      <w:r w:rsidRPr="60EAF375">
        <w:rPr>
          <w:rFonts w:ascii="Arial" w:hAnsi="Arial" w:eastAsia="Arial" w:cs="Arial"/>
          <w:sz w:val="24"/>
          <w:szCs w:val="24"/>
          <w:lang w:val="es-MX"/>
        </w:rPr>
        <w:t xml:space="preserve">. </w:t>
      </w:r>
    </w:p>
    <w:p w:rsidR="6A2F2409" w:rsidP="60EAF375" w:rsidRDefault="6A2F2409" w14:paraId="74264090" w14:textId="1CB55979">
      <w:pPr>
        <w:spacing w:line="360" w:lineRule="auto"/>
        <w:ind w:firstLine="709"/>
        <w:jc w:val="both"/>
        <w:rPr>
          <w:rFonts w:ascii="Arial" w:hAnsi="Arial" w:eastAsia="Arial" w:cs="Arial"/>
          <w:color w:val="000000" w:themeColor="text1"/>
          <w:sz w:val="24"/>
          <w:szCs w:val="24"/>
        </w:rPr>
      </w:pPr>
      <w:r w:rsidRPr="60EAF375">
        <w:rPr>
          <w:rFonts w:ascii="Arial" w:hAnsi="Arial" w:eastAsia="Arial" w:cs="Arial"/>
          <w:color w:val="000000" w:themeColor="text1"/>
          <w:sz w:val="24"/>
          <w:szCs w:val="24"/>
        </w:rPr>
        <w:t xml:space="preserve">En relación con las víctimas de violencia intrafamiliar, Ribero y Sánchez (2004) realizaron un análisis utilizando datos de una encuesta del Centro de Estudios para el Desarrollo Económico (CEDE) en 2003, centrada en Bogotá, Barranquilla y Barrancabermeja. Esta encuesta permitió mejorar la captación de la violencia intrafamiliar (VIF) en mujeres mediante la escala </w:t>
      </w:r>
      <w:proofErr w:type="spellStart"/>
      <w:r w:rsidRPr="60EAF375">
        <w:rPr>
          <w:rFonts w:ascii="Arial" w:hAnsi="Arial" w:eastAsia="Arial" w:cs="Arial"/>
          <w:color w:val="000000" w:themeColor="text1"/>
          <w:sz w:val="24"/>
          <w:szCs w:val="24"/>
        </w:rPr>
        <w:t>Revised</w:t>
      </w:r>
      <w:proofErr w:type="spellEnd"/>
      <w:r w:rsidRPr="60EAF375">
        <w:rPr>
          <w:rFonts w:ascii="Arial" w:hAnsi="Arial" w:eastAsia="Arial" w:cs="Arial"/>
          <w:color w:val="000000" w:themeColor="text1"/>
          <w:sz w:val="24"/>
          <w:szCs w:val="24"/>
        </w:rPr>
        <w:t xml:space="preserve"> </w:t>
      </w:r>
      <w:proofErr w:type="spellStart"/>
      <w:r w:rsidRPr="60EAF375">
        <w:rPr>
          <w:rFonts w:ascii="Arial" w:hAnsi="Arial" w:eastAsia="Arial" w:cs="Arial"/>
          <w:color w:val="000000" w:themeColor="text1"/>
          <w:sz w:val="24"/>
          <w:szCs w:val="24"/>
        </w:rPr>
        <w:t>Conflict</w:t>
      </w:r>
      <w:proofErr w:type="spellEnd"/>
      <w:r w:rsidRPr="60EAF375">
        <w:rPr>
          <w:rFonts w:ascii="Arial" w:hAnsi="Arial" w:eastAsia="Arial" w:cs="Arial"/>
          <w:color w:val="000000" w:themeColor="text1"/>
          <w:sz w:val="24"/>
          <w:szCs w:val="24"/>
        </w:rPr>
        <w:t xml:space="preserve"> </w:t>
      </w:r>
      <w:proofErr w:type="spellStart"/>
      <w:r w:rsidRPr="60EAF375">
        <w:rPr>
          <w:rFonts w:ascii="Arial" w:hAnsi="Arial" w:eastAsia="Arial" w:cs="Arial"/>
          <w:color w:val="000000" w:themeColor="text1"/>
          <w:sz w:val="24"/>
          <w:szCs w:val="24"/>
        </w:rPr>
        <w:t>Tactics</w:t>
      </w:r>
      <w:proofErr w:type="spellEnd"/>
      <w:r w:rsidRPr="60EAF375">
        <w:rPr>
          <w:rFonts w:ascii="Arial" w:hAnsi="Arial" w:eastAsia="Arial" w:cs="Arial"/>
          <w:color w:val="000000" w:themeColor="text1"/>
          <w:sz w:val="24"/>
          <w:szCs w:val="24"/>
        </w:rPr>
        <w:t xml:space="preserve"> </w:t>
      </w:r>
      <w:proofErr w:type="spellStart"/>
      <w:r w:rsidRPr="60EAF375">
        <w:rPr>
          <w:rFonts w:ascii="Arial" w:hAnsi="Arial" w:eastAsia="Arial" w:cs="Arial"/>
          <w:color w:val="000000" w:themeColor="text1"/>
          <w:sz w:val="24"/>
          <w:szCs w:val="24"/>
        </w:rPr>
        <w:t>Scale</w:t>
      </w:r>
      <w:proofErr w:type="spellEnd"/>
      <w:r w:rsidRPr="60EAF375">
        <w:rPr>
          <w:rFonts w:ascii="Arial" w:hAnsi="Arial" w:eastAsia="Arial" w:cs="Arial"/>
          <w:color w:val="000000" w:themeColor="text1"/>
          <w:sz w:val="24"/>
          <w:szCs w:val="24"/>
        </w:rPr>
        <w:t>. Los resultados indicaron que la incidencia de la violencia disminuye conforme aumenta el nivel educativo y la riqueza del hogar; sin embargo, las mujeres con educación media todavía enfrentan altos niveles de maltrato psicológico. Además, se observó que las madres en unión libre o divorciadas reportaron mayores niveles de maltrato hacia los menores. Así, el estudio destaca patrones consistentes que evidencian una disminución del abuso en relación con la riqueza y la educación, aunque algunas formas de violencia, como el abuso físico grave y la violencia sexual, se presentaron en niveles más bajos en comparación con otros tipos de maltrato.</w:t>
      </w:r>
    </w:p>
    <w:p w:rsidR="6A2F2409" w:rsidP="60EAF375" w:rsidRDefault="37F7D60E" w14:paraId="2E49174C" w14:textId="56AAB2C1">
      <w:pPr>
        <w:spacing w:line="360" w:lineRule="auto"/>
        <w:ind w:firstLine="709"/>
        <w:jc w:val="both"/>
        <w:rPr>
          <w:rFonts w:ascii="Arial" w:hAnsi="Arial" w:eastAsia="Arial" w:cs="Arial"/>
          <w:color w:val="000000" w:themeColor="text1"/>
          <w:sz w:val="24"/>
          <w:szCs w:val="24"/>
        </w:rPr>
      </w:pPr>
      <w:r w:rsidRPr="60EAF375">
        <w:rPr>
          <w:rFonts w:ascii="Arial" w:hAnsi="Arial" w:eastAsia="Arial" w:cs="Arial"/>
          <w:color w:val="000000" w:themeColor="text1"/>
          <w:sz w:val="24"/>
          <w:szCs w:val="24"/>
        </w:rPr>
        <w:t xml:space="preserve"> En cuanto al</w:t>
      </w:r>
      <w:r w:rsidRPr="60EAF375">
        <w:rPr>
          <w:rFonts w:ascii="Arial" w:hAnsi="Arial" w:eastAsia="Arial" w:cs="Arial"/>
          <w:b/>
          <w:bCs/>
          <w:color w:val="000000" w:themeColor="text1"/>
          <w:sz w:val="24"/>
          <w:szCs w:val="24"/>
        </w:rPr>
        <w:t xml:space="preserve"> </w:t>
      </w:r>
      <w:r w:rsidRPr="60EAF375">
        <w:rPr>
          <w:rFonts w:ascii="Arial" w:hAnsi="Arial" w:eastAsia="Arial" w:cs="Arial"/>
          <w:color w:val="000000" w:themeColor="text1"/>
          <w:sz w:val="24"/>
          <w:szCs w:val="24"/>
        </w:rPr>
        <w:t xml:space="preserve">perfil de los agresores, </w:t>
      </w:r>
      <w:proofErr w:type="spellStart"/>
      <w:r w:rsidRPr="60EAF375">
        <w:rPr>
          <w:rFonts w:ascii="Arial" w:hAnsi="Arial" w:eastAsia="Arial" w:cs="Arial"/>
          <w:color w:val="000000" w:themeColor="text1"/>
          <w:sz w:val="24"/>
          <w:szCs w:val="24"/>
        </w:rPr>
        <w:t>Caruso</w:t>
      </w:r>
      <w:proofErr w:type="spellEnd"/>
      <w:r w:rsidRPr="60EAF375">
        <w:rPr>
          <w:rFonts w:ascii="Arial" w:hAnsi="Arial" w:eastAsia="Arial" w:cs="Arial"/>
          <w:color w:val="000000" w:themeColor="text1"/>
          <w:sz w:val="24"/>
          <w:szCs w:val="24"/>
        </w:rPr>
        <w:t xml:space="preserve"> (2020) menciona diversos factores que pueden influir en su conducta, tales como la dificultad o ausencia en el control de la ira, alteraciones psicológicas, y problemas en la expresión y regulación emocional. Asimismo, identifica distorsiones cognitivas, déficit en habilidades sociales y de resolución de problemas, así como baja autoestima. También es relevante mencionar que algunos agresores pueden enfrentar problemas relacionados con el consumo de alcohol y sustancias psicoactivas, trastornos de personalidad y trastornos delirantes con celotipia. Complementando esta información, López et al. (2017) reportaron en Cartagena, en 2014, un total de 1,327 casos de violencia familiar, de los cuales el 70% correspondieron a violencia de pareja. En este contexto, se reveló que muchos agresores justificaban su conducta alegando estar bajo los efectos del alcohol o motivados por celotipia, lo que Roldan et al. (2017) identifican como un factor de riesgo que puede llevar a la repetición de episodios violentos.</w:t>
      </w:r>
    </w:p>
    <w:p w:rsidR="6A2F2409" w:rsidP="60EAF375" w:rsidRDefault="6A2F2409" w14:paraId="4CFD934D" w14:textId="216EFF9D">
      <w:pPr>
        <w:spacing w:line="360" w:lineRule="auto"/>
        <w:ind w:firstLine="709"/>
        <w:jc w:val="both"/>
        <w:rPr>
          <w:rFonts w:ascii="Arial" w:hAnsi="Arial" w:eastAsia="Arial" w:cs="Arial"/>
          <w:color w:val="000000" w:themeColor="text1"/>
          <w:sz w:val="24"/>
          <w:szCs w:val="24"/>
        </w:rPr>
      </w:pPr>
      <w:r w:rsidRPr="60EAF375">
        <w:rPr>
          <w:rFonts w:ascii="Arial" w:hAnsi="Arial" w:eastAsia="Arial" w:cs="Arial"/>
          <w:color w:val="000000" w:themeColor="text1"/>
          <w:sz w:val="24"/>
          <w:szCs w:val="24"/>
        </w:rPr>
        <w:t xml:space="preserve"> Por otra parte, Guerrero Molina et al. (2020) corroboran que los agresores reincidentes tienden a tener pensamientos distorsionados sobre la inferioridad de la mujer, lo que justifica su violencia. En contraste, los agresores con mayor autoestima presentan menor probabilidad de reincidir en comportamientos violentos, ya que la violencia puede actuar como un factor compensatorio ante su baja autoestima. En línea con esto, Espinoza y Álvarez </w:t>
      </w:r>
      <w:proofErr w:type="spellStart"/>
      <w:r w:rsidRPr="60EAF375">
        <w:rPr>
          <w:rFonts w:ascii="Arial" w:hAnsi="Arial" w:eastAsia="Arial" w:cs="Arial"/>
          <w:color w:val="000000" w:themeColor="text1"/>
          <w:sz w:val="24"/>
          <w:szCs w:val="24"/>
        </w:rPr>
        <w:t>Saquinaula</w:t>
      </w:r>
      <w:proofErr w:type="spellEnd"/>
      <w:r w:rsidRPr="60EAF375">
        <w:rPr>
          <w:rFonts w:ascii="Arial" w:hAnsi="Arial" w:eastAsia="Arial" w:cs="Arial"/>
          <w:color w:val="000000" w:themeColor="text1"/>
          <w:sz w:val="24"/>
          <w:szCs w:val="24"/>
        </w:rPr>
        <w:t xml:space="preserve"> (2022) afirman que hay elementos que incrementan la posibilidad de ocurrencia y permanencia de la VIF, como las interpretaciones erróneas de los roles, distorsiones que consideran a las mujeres como inferiores y la creencia de que la violencia es un medio legítimo para resolver conflictos. En este sentido, citando a Duarte (2010), estos autores subrayan que las intervenciones enfocadas en reducir pensamientos distorsionados son más eficaces.</w:t>
      </w:r>
    </w:p>
    <w:p w:rsidR="6A2F2409" w:rsidP="60EAF375" w:rsidRDefault="6A2F2409" w14:paraId="65928922" w14:textId="362719AD">
      <w:pPr>
        <w:spacing w:line="360" w:lineRule="auto"/>
        <w:ind w:firstLine="709"/>
        <w:jc w:val="both"/>
        <w:rPr>
          <w:rFonts w:ascii="Arial" w:hAnsi="Arial" w:eastAsia="Arial" w:cs="Arial"/>
          <w:color w:val="000000" w:themeColor="text1"/>
          <w:sz w:val="24"/>
          <w:szCs w:val="24"/>
        </w:rPr>
      </w:pPr>
      <w:r w:rsidRPr="60EAF375">
        <w:rPr>
          <w:rFonts w:ascii="Arial" w:hAnsi="Arial" w:eastAsia="Arial" w:cs="Arial"/>
          <w:color w:val="000000" w:themeColor="text1"/>
          <w:sz w:val="24"/>
          <w:szCs w:val="24"/>
        </w:rPr>
        <w:t xml:space="preserve"> Además, </w:t>
      </w:r>
      <w:proofErr w:type="spellStart"/>
      <w:r w:rsidRPr="60EAF375">
        <w:rPr>
          <w:rFonts w:ascii="Arial" w:hAnsi="Arial" w:eastAsia="Arial" w:cs="Arial"/>
          <w:color w:val="000000" w:themeColor="text1"/>
          <w:sz w:val="24"/>
          <w:szCs w:val="24"/>
        </w:rPr>
        <w:t>Masache</w:t>
      </w:r>
      <w:proofErr w:type="spellEnd"/>
      <w:r w:rsidRPr="60EAF375">
        <w:rPr>
          <w:rFonts w:ascii="Arial" w:hAnsi="Arial" w:eastAsia="Arial" w:cs="Arial"/>
          <w:color w:val="000000" w:themeColor="text1"/>
          <w:sz w:val="24"/>
          <w:szCs w:val="24"/>
        </w:rPr>
        <w:t xml:space="preserve"> et al. (2020) sostienen que los agresores a menudo presentan antecedentes de violencia, problemas de salud mental y conductas antisociales. Se caracterizan por rasgos como hostilidad hacia las mujeres, baja socialización y consumo de drogas. Los autores identifican tres tipos de personalidad entre los agresores: narcisista-antisocial, esquizoide-</w:t>
      </w:r>
      <w:proofErr w:type="spellStart"/>
      <w:r w:rsidRPr="60EAF375">
        <w:rPr>
          <w:rFonts w:ascii="Arial" w:hAnsi="Arial" w:eastAsia="Arial" w:cs="Arial"/>
          <w:color w:val="000000" w:themeColor="text1"/>
          <w:sz w:val="24"/>
          <w:szCs w:val="24"/>
        </w:rPr>
        <w:t>borderline</w:t>
      </w:r>
      <w:proofErr w:type="spellEnd"/>
      <w:r w:rsidRPr="60EAF375">
        <w:rPr>
          <w:rFonts w:ascii="Arial" w:hAnsi="Arial" w:eastAsia="Arial" w:cs="Arial"/>
          <w:color w:val="000000" w:themeColor="text1"/>
          <w:sz w:val="24"/>
          <w:szCs w:val="24"/>
        </w:rPr>
        <w:t xml:space="preserve">, y pasivo/dependiente-compulsivo, cada uno con características específicas que influyen en su comportamiento violento. En otro estudio realizado </w:t>
      </w:r>
      <w:r w:rsidRPr="60EAF375" w:rsidR="288CD837">
        <w:rPr>
          <w:rFonts w:ascii="Arial" w:hAnsi="Arial" w:eastAsia="Arial" w:cs="Arial"/>
          <w:color w:val="000000" w:themeColor="text1"/>
          <w:sz w:val="24"/>
          <w:szCs w:val="24"/>
        </w:rPr>
        <w:t xml:space="preserve">Almenares et al. (1999) </w:t>
      </w:r>
      <w:r w:rsidRPr="60EAF375">
        <w:rPr>
          <w:rFonts w:ascii="Arial" w:hAnsi="Arial" w:eastAsia="Arial" w:cs="Arial"/>
          <w:color w:val="000000" w:themeColor="text1"/>
          <w:sz w:val="24"/>
          <w:szCs w:val="24"/>
        </w:rPr>
        <w:t>en 100 familias de La Habana, se reveló que la madre era responsable del 47% de los casos de violencia en relación con el parentesco con la víctima, seguida por el cónyuge. Es notable que en el 40% de las familias estudiadas se identificaron más de un agresor. En Manizales, el estudio de Cardona et al. (2014) muestra que la mayoría de los agresores son esposos o compañeros sentimentales que ejercen violencia en el hogar, representando el 45.9% de los casos reportados, siendo el puño el objeto de agresión más utilizado. Además, las lesiones más comunes ocurren en la cabeza, sugiriendo un patrón de violencia física significativa y potencialmente grave.</w:t>
      </w:r>
    </w:p>
    <w:p w:rsidR="6A2F2409" w:rsidP="60EAF375" w:rsidRDefault="37F7D60E" w14:paraId="271383C3" w14:textId="3E35F1A7">
      <w:pPr>
        <w:spacing w:line="360" w:lineRule="auto"/>
        <w:ind w:firstLine="709"/>
        <w:jc w:val="both"/>
        <w:rPr>
          <w:rFonts w:ascii="Arial" w:hAnsi="Arial" w:eastAsia="Arial" w:cs="Arial"/>
          <w:color w:val="000000" w:themeColor="text1"/>
          <w:sz w:val="24"/>
          <w:szCs w:val="24"/>
        </w:rPr>
      </w:pPr>
      <w:r w:rsidRPr="60EAF375">
        <w:rPr>
          <w:rFonts w:ascii="Arial" w:hAnsi="Arial" w:eastAsia="Arial" w:cs="Arial"/>
          <w:color w:val="000000" w:themeColor="text1"/>
          <w:sz w:val="24"/>
          <w:szCs w:val="24"/>
        </w:rPr>
        <w:t>Finalmente, Valdivia-</w:t>
      </w:r>
      <w:proofErr w:type="spellStart"/>
      <w:r w:rsidRPr="60EAF375">
        <w:rPr>
          <w:rFonts w:ascii="Arial" w:hAnsi="Arial" w:eastAsia="Arial" w:cs="Arial"/>
          <w:color w:val="000000" w:themeColor="text1"/>
          <w:sz w:val="24"/>
          <w:szCs w:val="24"/>
        </w:rPr>
        <w:t>Devia</w:t>
      </w:r>
      <w:proofErr w:type="spellEnd"/>
      <w:r w:rsidRPr="60EAF375">
        <w:rPr>
          <w:rFonts w:ascii="Arial" w:hAnsi="Arial" w:eastAsia="Arial" w:cs="Arial"/>
          <w:color w:val="000000" w:themeColor="text1"/>
          <w:sz w:val="24"/>
          <w:szCs w:val="24"/>
        </w:rPr>
        <w:t xml:space="preserve"> et al. (2021) llevaron a cabo una investigación con una muestra de 10,505 hombres chilenos detenidos en 2007 por Carabineros de Chile debido a delitos de violencia intrafamiliar. Este estudio reveló que el perfil típico del agresor es un joven soltero con educación básica y en situaciones laborales precarias. Se encontró que el 93.2% de los agresores reincidieron en delitos, de los cuales el 84.4% lo hizo múltiples veces. Los delitos violentos, que incluyen la violencia intrafamiliar, representaron el 30.23% de todas las reincidencias. Solo un 13.9% de los agresores mostró especialización en un único tipo de delito, mientras que la mayoría exhibió un comportamiento delictivo versátil, involucrándose en múltiples tipos de delitos. En base a estos hallazgos, los autores recomiendan que las estrategias de intervención sean generales y se adapten a las trayectorias delictivas individuales, en lugar de depender de tratamientos especializados que pueden no ser efectivos para todos. Además, se subraya la necesidad de considerar las diferencias en las trayectorias delictivas y la historia previa de los agresores para mejorar las intervenciones y reducir la reincidencia. De forma similar, el estudio de Roldan et al. (2017) en la ciudad de Córdoba encontró que el grupo etario predominante de los agresores tenía e</w:t>
      </w:r>
      <w:r w:rsidRPr="60EAF375">
        <w:rPr>
          <w:rFonts w:ascii="Arial" w:hAnsi="Arial" w:eastAsia="Arial" w:cs="Arial"/>
          <w:b/>
          <w:bCs/>
          <w:color w:val="000000" w:themeColor="text1"/>
          <w:sz w:val="24"/>
          <w:szCs w:val="24"/>
        </w:rPr>
        <w:t>ntre 20 y 39 año</w:t>
      </w:r>
      <w:r w:rsidRPr="60EAF375">
        <w:rPr>
          <w:rFonts w:ascii="Arial" w:hAnsi="Arial" w:eastAsia="Arial" w:cs="Arial"/>
          <w:color w:val="000000" w:themeColor="text1"/>
          <w:sz w:val="24"/>
          <w:szCs w:val="24"/>
        </w:rPr>
        <w:t>s, con un nivel educativo principalmente de primaria y una situación laboral precaria.</w:t>
      </w:r>
    </w:p>
    <w:p w:rsidRPr="00B73A11" w:rsidR="00063629" w:rsidP="206C2CE6" w:rsidRDefault="00ED4CAD" w14:paraId="3CCB49EE" w14:textId="30E24C03">
      <w:pPr>
        <w:spacing w:line="360" w:lineRule="auto"/>
        <w:ind w:firstLine="708"/>
        <w:jc w:val="both"/>
        <w:rPr>
          <w:rFonts w:ascii="Arial" w:hAnsi="Arial" w:eastAsia="Arial" w:cs="Arial"/>
          <w:sz w:val="24"/>
          <w:szCs w:val="24"/>
        </w:rPr>
      </w:pPr>
      <w:r w:rsidRPr="60EAF375">
        <w:rPr>
          <w:rFonts w:ascii="Arial" w:hAnsi="Arial" w:eastAsia="Arial" w:cs="Arial"/>
          <w:sz w:val="24"/>
          <w:szCs w:val="24"/>
        </w:rPr>
        <w:t xml:space="preserve">Ferrer Pérez, </w:t>
      </w:r>
      <w:r w:rsidRPr="60EAF375" w:rsidR="0CB242FC">
        <w:rPr>
          <w:rFonts w:ascii="Arial" w:hAnsi="Arial" w:eastAsia="Arial" w:cs="Arial"/>
          <w:sz w:val="24"/>
          <w:szCs w:val="24"/>
        </w:rPr>
        <w:t xml:space="preserve">et al. </w:t>
      </w:r>
      <w:r w:rsidRPr="60EAF375">
        <w:rPr>
          <w:rFonts w:ascii="Arial" w:hAnsi="Arial" w:eastAsia="Arial" w:cs="Arial"/>
          <w:sz w:val="24"/>
          <w:szCs w:val="24"/>
        </w:rPr>
        <w:t xml:space="preserve">(2016) en su estudio sobre programas de intervención con maltratadores en España, resaltan entre los retos de trabajar con personas que ejercen la violencia intrafamiliar </w:t>
      </w:r>
      <w:r w:rsidRPr="60EAF375" w:rsidR="7D47D93B">
        <w:rPr>
          <w:rFonts w:ascii="Arial" w:hAnsi="Arial" w:eastAsia="Arial" w:cs="Arial"/>
          <w:sz w:val="24"/>
          <w:szCs w:val="24"/>
        </w:rPr>
        <w:t xml:space="preserve">son </w:t>
      </w:r>
      <w:r w:rsidRPr="60EAF375">
        <w:rPr>
          <w:rFonts w:ascii="Arial" w:hAnsi="Arial" w:eastAsia="Arial" w:cs="Arial"/>
          <w:sz w:val="24"/>
          <w:szCs w:val="24"/>
        </w:rPr>
        <w:t xml:space="preserve">las características personales </w:t>
      </w:r>
      <w:r w:rsidRPr="60EAF375" w:rsidR="00006956">
        <w:rPr>
          <w:rFonts w:ascii="Arial" w:hAnsi="Arial" w:eastAsia="Arial" w:cs="Arial"/>
          <w:sz w:val="24"/>
          <w:szCs w:val="24"/>
        </w:rPr>
        <w:t xml:space="preserve">de los ofensores, </w:t>
      </w:r>
      <w:r w:rsidRPr="60EAF375">
        <w:rPr>
          <w:rFonts w:ascii="Arial" w:hAnsi="Arial" w:eastAsia="Arial" w:cs="Arial"/>
          <w:sz w:val="24"/>
          <w:szCs w:val="24"/>
        </w:rPr>
        <w:t>la falta de motivación al cambio, la asistencia por una orden judicial y no por que asuman la responsabilidad de sus actos, la ausencia de enfoque de género en los modelos de atención, la no derivación de casos o derivación tardía o inadecuada a servicios especializados de acuerdo a las características, las características de las cárceles, actitudes de algunos profesionales, la falta de definición de nivel de riesgo, ampliar los programas a ofensores menores de edad, dar importancia al rol de la pareja, combinar intervenciones individuales y grupales, adaptar los procesos de acuerdo a diferencias ideológicas, culturales, niveles educativos.</w:t>
      </w:r>
      <w:r w:rsidRPr="60EAF375" w:rsidR="00063629">
        <w:rPr>
          <w:rFonts w:ascii="Arial" w:hAnsi="Arial" w:eastAsia="Arial" w:cs="Arial"/>
          <w:sz w:val="24"/>
          <w:szCs w:val="24"/>
        </w:rPr>
        <w:t xml:space="preserve"> También encontraron que los profesionales que trabajan en programas de intervención a maltratadores en España resaltan la necesidad de trabajar en habilidad relacionales. </w:t>
      </w:r>
    </w:p>
    <w:p w:rsidR="1DBBAFA8" w:rsidP="206C2CE6" w:rsidRDefault="2A6E0161" w14:paraId="7E788F86" w14:textId="1DDD7DAB">
      <w:pPr>
        <w:spacing w:line="360" w:lineRule="auto"/>
        <w:ind w:firstLine="709"/>
        <w:jc w:val="both"/>
        <w:rPr>
          <w:rFonts w:ascii="Arial" w:hAnsi="Arial" w:eastAsia="Arial" w:cs="Arial"/>
          <w:sz w:val="24"/>
          <w:szCs w:val="24"/>
        </w:rPr>
      </w:pPr>
      <w:r w:rsidRPr="60EAF375">
        <w:rPr>
          <w:rFonts w:ascii="Arial" w:hAnsi="Arial" w:eastAsia="Arial" w:cs="Arial"/>
          <w:sz w:val="24"/>
          <w:szCs w:val="24"/>
        </w:rPr>
        <w:t xml:space="preserve">Al abordar los programas destinados a atender a ofensores de violencia intrafamiliar (VIF), es fundamental considerar los elementos que Ferrer Pérez et al. (2016) identifican como factores de éxito en estos programas. En primer lugar, se destaca la necesidad de que la persona reconozca haber generado comportamientos violentos y los daños causados, así como que se autodenomine maltratador y reconozca la necesidad de ayuda. Además, el compromiso con el cambio es crucial, lo que implica asistir a las sesiones y experimentar una disminución de la impulsividad, así como un aumento de la empatía hacia la víctima. Estos programas también promueven la mejora en la expresión de emociones, cambios en actitudes sexistas y discriminatorias, y la disminución de justificaciones de la violencia. La utilización de estrategias aprendidas en la intervención, relacionadas con el afrontamiento y la flexibilización de ideas irracionales, también juega un papel importante. Finalmente, se subraya la motivación subjetiva para participar en las intervenciones y la reducción de factores de riesgo desencadenantes, como el consumo de alcohol y drogas. </w:t>
      </w:r>
    </w:p>
    <w:p w:rsidR="1DBBAFA8" w:rsidP="206C2CE6" w:rsidRDefault="1DBBAFA8" w14:paraId="10080DCD" w14:textId="236E2EA3">
      <w:pPr>
        <w:spacing w:line="360" w:lineRule="auto"/>
        <w:ind w:firstLine="709"/>
        <w:jc w:val="both"/>
        <w:rPr>
          <w:rFonts w:ascii="Arial" w:hAnsi="Arial" w:eastAsia="Arial" w:cs="Arial"/>
          <w:sz w:val="24"/>
          <w:szCs w:val="24"/>
        </w:rPr>
      </w:pPr>
      <w:r w:rsidRPr="60EAF375">
        <w:rPr>
          <w:rFonts w:ascii="Arial" w:hAnsi="Arial" w:eastAsia="Arial" w:cs="Arial"/>
          <w:sz w:val="24"/>
          <w:szCs w:val="24"/>
        </w:rPr>
        <w:t>Sin embargo, Ferrer Pérez et al. (2016) también señalan que existen perfiles con mayor dificultad para avanzar en la disminución de la VIF. Estas dificultades pueden presentarse en personas con trastornos psicológicos no tratados o graves, aquellos que consumen alcohol o drogas, y quienes niegan la violencia o la tienen totalmente normalizada. Además, la incapacidad para comprender y reflexionar, que puede estar asociada a discapacidades, diferencias culturales o de idioma, también representa un obstáculo. Por último, aquellas personas cuya única motivación es obtener beneficios secundarios tienen menos probabilidades de experimentar un cambio significativo.</w:t>
      </w:r>
    </w:p>
    <w:p w:rsidR="1DBBAFA8" w:rsidP="206C2CE6" w:rsidRDefault="2A6E0161" w14:paraId="48CE3972" w14:textId="6D93C80D">
      <w:pPr>
        <w:spacing w:line="360" w:lineRule="auto"/>
        <w:ind w:firstLine="709"/>
        <w:jc w:val="both"/>
        <w:rPr>
          <w:rFonts w:ascii="Arial" w:hAnsi="Arial" w:eastAsia="Arial" w:cs="Arial"/>
          <w:sz w:val="24"/>
          <w:szCs w:val="24"/>
        </w:rPr>
      </w:pPr>
      <w:r w:rsidRPr="60EAF375">
        <w:rPr>
          <w:rFonts w:ascii="Arial" w:hAnsi="Arial" w:eastAsia="Arial" w:cs="Arial"/>
          <w:sz w:val="24"/>
          <w:szCs w:val="24"/>
        </w:rPr>
        <w:t xml:space="preserve">En cuanto a las características de los programas, Ferrer Pérez et al. (2016) identifican varios indicadores de éxito, que incluyen la inclusión de intervenciones grupales e individuales, así como la implementación de diferentes estrategias adaptadas a los distintos perfiles de ofensores. Es fundamental realizar ajustes a las características de cada participante y hacer un seguimiento constante de las tareas y compromisos asumidos, lo que contribuye a la disminución de conductas de violencia física y psicológica. Complementando esta perspectiva, Arce y Fariña (2010) citan a </w:t>
      </w:r>
      <w:proofErr w:type="spellStart"/>
      <w:r w:rsidRPr="60EAF375">
        <w:rPr>
          <w:rFonts w:ascii="Arial" w:hAnsi="Arial" w:eastAsia="Arial" w:cs="Arial"/>
          <w:sz w:val="24"/>
          <w:szCs w:val="24"/>
        </w:rPr>
        <w:t>McGuire</w:t>
      </w:r>
      <w:proofErr w:type="spellEnd"/>
      <w:r w:rsidRPr="60EAF375">
        <w:rPr>
          <w:rFonts w:ascii="Arial" w:hAnsi="Arial" w:eastAsia="Arial" w:cs="Arial"/>
          <w:sz w:val="24"/>
          <w:szCs w:val="24"/>
        </w:rPr>
        <w:t xml:space="preserve">, Mason y </w:t>
      </w:r>
      <w:proofErr w:type="spellStart"/>
      <w:r w:rsidRPr="60EAF375">
        <w:rPr>
          <w:rFonts w:ascii="Arial" w:hAnsi="Arial" w:eastAsia="Arial" w:cs="Arial"/>
          <w:sz w:val="24"/>
          <w:szCs w:val="24"/>
        </w:rPr>
        <w:t>O'Kane</w:t>
      </w:r>
      <w:proofErr w:type="spellEnd"/>
      <w:r w:rsidRPr="60EAF375">
        <w:rPr>
          <w:rFonts w:ascii="Arial" w:hAnsi="Arial" w:eastAsia="Arial" w:cs="Arial"/>
          <w:sz w:val="24"/>
          <w:szCs w:val="24"/>
        </w:rPr>
        <w:t xml:space="preserve"> (2000), quienes resaltan otros elementos clave a tener en cuenta en los programas de intervención para personas que ejercen VIF. Estos elementos incluyen la necesidad de que los programas tengan claridad sobre las causas de la violencia y los modelos de atención basados en evidencia. Además, es esencial realizar evaluaciones constantes del riesgo, intervenir sobre los factores dinámicos de riesgo y utilizar técnicas de aprendizaje participativo, activo y focalizado que promuevan el cambio. Por último, es necesario ajustar las metodologías a las características específicas de cada persona, establecer objetivos claros, evaluar continuamente el proceso y determinar la duración del programa en función de las necesidades y avances individuales.</w:t>
      </w:r>
    </w:p>
    <w:p w:rsidRPr="00B73A11" w:rsidR="00006956" w:rsidP="206C2CE6" w:rsidRDefault="00006956" w14:paraId="0B24BFE1" w14:textId="1F634304">
      <w:pPr>
        <w:spacing w:line="360" w:lineRule="auto"/>
        <w:ind w:firstLine="709"/>
        <w:jc w:val="both"/>
        <w:rPr>
          <w:rFonts w:ascii="Arial" w:hAnsi="Arial" w:eastAsia="Arial" w:cs="Arial"/>
          <w:sz w:val="24"/>
          <w:szCs w:val="24"/>
        </w:rPr>
      </w:pPr>
      <w:r w:rsidRPr="60EAF375">
        <w:rPr>
          <w:rFonts w:ascii="Arial" w:hAnsi="Arial" w:eastAsia="Arial" w:cs="Arial"/>
          <w:sz w:val="24"/>
          <w:szCs w:val="24"/>
        </w:rPr>
        <w:t xml:space="preserve">Teniendo en cuenta los elementos anteriormente mencionados, a </w:t>
      </w:r>
      <w:r w:rsidRPr="60EAF375" w:rsidR="005F4F75">
        <w:rPr>
          <w:rFonts w:ascii="Arial" w:hAnsi="Arial" w:eastAsia="Arial" w:cs="Arial"/>
          <w:sz w:val="24"/>
          <w:szCs w:val="24"/>
        </w:rPr>
        <w:t>continuación,</w:t>
      </w:r>
      <w:r w:rsidRPr="60EAF375">
        <w:rPr>
          <w:rFonts w:ascii="Arial" w:hAnsi="Arial" w:eastAsia="Arial" w:cs="Arial"/>
          <w:sz w:val="24"/>
          <w:szCs w:val="24"/>
        </w:rPr>
        <w:t xml:space="preserve"> se realizará una revisión de intervenciones o programas orientados a personas adultas que ejercen la violencia intrafamiliar.</w:t>
      </w:r>
    </w:p>
    <w:p w:rsidR="4A7B8907" w:rsidP="206C2CE6" w:rsidRDefault="31FC86F7" w14:paraId="4DEAEFD2" w14:textId="261BD837">
      <w:pPr>
        <w:spacing w:line="360" w:lineRule="auto"/>
        <w:ind w:firstLine="709"/>
        <w:jc w:val="both"/>
        <w:rPr>
          <w:rFonts w:ascii="Arial" w:hAnsi="Arial" w:eastAsia="Arial" w:cs="Arial"/>
          <w:sz w:val="24"/>
          <w:szCs w:val="24"/>
        </w:rPr>
      </w:pPr>
      <w:r w:rsidRPr="60EAF375">
        <w:rPr>
          <w:rFonts w:ascii="Arial" w:hAnsi="Arial" w:eastAsia="Arial" w:cs="Arial"/>
          <w:b/>
          <w:bCs/>
          <w:sz w:val="24"/>
          <w:szCs w:val="24"/>
        </w:rPr>
        <w:t>1</w:t>
      </w:r>
      <w:r w:rsidRPr="60EAF375">
        <w:rPr>
          <w:rFonts w:ascii="Arial" w:hAnsi="Arial" w:eastAsia="Arial" w:cs="Arial"/>
          <w:sz w:val="24"/>
          <w:szCs w:val="24"/>
        </w:rPr>
        <w:t xml:space="preserve">. </w:t>
      </w:r>
      <w:r w:rsidRPr="60EAF375" w:rsidR="01FEEC0D">
        <w:rPr>
          <w:rFonts w:ascii="Arial" w:hAnsi="Arial" w:eastAsia="Arial" w:cs="Arial"/>
          <w:sz w:val="24"/>
          <w:szCs w:val="24"/>
        </w:rPr>
        <w:t xml:space="preserve">En su investigación, Ordóñez Espinoza y Álvarez </w:t>
      </w:r>
      <w:proofErr w:type="spellStart"/>
      <w:r w:rsidRPr="60EAF375" w:rsidR="01FEEC0D">
        <w:rPr>
          <w:rFonts w:ascii="Arial" w:hAnsi="Arial" w:eastAsia="Arial" w:cs="Arial"/>
          <w:sz w:val="24"/>
          <w:szCs w:val="24"/>
        </w:rPr>
        <w:t>Saquinaula</w:t>
      </w:r>
      <w:proofErr w:type="spellEnd"/>
      <w:r w:rsidRPr="60EAF375" w:rsidR="01FEEC0D">
        <w:rPr>
          <w:rFonts w:ascii="Arial" w:hAnsi="Arial" w:eastAsia="Arial" w:cs="Arial"/>
          <w:sz w:val="24"/>
          <w:szCs w:val="24"/>
        </w:rPr>
        <w:t xml:space="preserve"> (2022) subrayan la urgencia de abordar la violencia intrafamiliar (VIF), especialmente la celotipia, en personas privadas de libertad. Este tipo de violencia no solo puede escalar a feminicidios, sino que también genera daños cada vez más graves, manifestándose en diversas formas, como la violencia psicológica, económica, física y sexual. El impacto se extiende más allá de las víctimas directas, afectando a otros miembros del núcleo familiar que son testigos de los comportamientos violentos o de las consecuencias que estos conllevan.</w:t>
      </w:r>
    </w:p>
    <w:p w:rsidR="4A7B8907" w:rsidP="206C2CE6" w:rsidRDefault="5F71E376" w14:paraId="50AC7B3C" w14:textId="305B1ED0">
      <w:pPr>
        <w:spacing w:line="360" w:lineRule="auto"/>
        <w:ind w:firstLine="709"/>
        <w:jc w:val="both"/>
        <w:rPr>
          <w:rFonts w:ascii="Arial" w:hAnsi="Arial" w:eastAsia="Arial" w:cs="Arial"/>
          <w:sz w:val="24"/>
          <w:szCs w:val="24"/>
        </w:rPr>
      </w:pPr>
      <w:r w:rsidRPr="60EAF375">
        <w:rPr>
          <w:rFonts w:ascii="Arial" w:hAnsi="Arial" w:eastAsia="Arial" w:cs="Arial"/>
          <w:sz w:val="24"/>
          <w:szCs w:val="24"/>
        </w:rPr>
        <w:t xml:space="preserve"> En este contexto, los autores citan a Ruiz (2012), quien define la Terapia Cognitivo Conductual (TCC) como una intervención terapéutica empíricamente validada que se basa en un modelo cognitivo. Este enfoque destaca la relación directa entre las emociones y el comportamiento con la interpretación de la realidad. La importancia de la TCC se hace evidente al considerar que la celotipia, reconocida como una de las causas de la violencia intrafamiliar en parejas, se caracteriza por ideas irracionales y la necesidad de poseer a otra persona. Según Ordóñez Espinoza y Álvarez </w:t>
      </w:r>
      <w:proofErr w:type="spellStart"/>
      <w:r w:rsidRPr="60EAF375">
        <w:rPr>
          <w:rFonts w:ascii="Arial" w:hAnsi="Arial" w:eastAsia="Arial" w:cs="Arial"/>
          <w:sz w:val="24"/>
          <w:szCs w:val="24"/>
        </w:rPr>
        <w:t>Saquinaula</w:t>
      </w:r>
      <w:proofErr w:type="spellEnd"/>
      <w:r w:rsidRPr="60EAF375">
        <w:rPr>
          <w:rFonts w:ascii="Arial" w:hAnsi="Arial" w:eastAsia="Arial" w:cs="Arial"/>
          <w:sz w:val="24"/>
          <w:szCs w:val="24"/>
        </w:rPr>
        <w:t xml:space="preserve"> (2022), retomando el DSM-V, hay tres elementos fundamentales de la celotipia: la inexistencia de causas reales para los celos, las sospechas extrañas y permanentes, y la percepción irracional de pérdida de control sobre la pareja. Además, los autores mencionan que este trastorno puede incluir hostigamiento, afectación en las actividades diarias de la víctima y mecanismos de control, destacando la necesidad de un tratamiento farmacológico en casos complejos, ya que la terapia sola puede resultar insuficiente.</w:t>
      </w:r>
    </w:p>
    <w:p w:rsidR="4A7B8907" w:rsidP="206C2CE6" w:rsidRDefault="5F71E376" w14:paraId="3D9419DD" w14:textId="41F3BA64">
      <w:pPr>
        <w:spacing w:line="360" w:lineRule="auto"/>
        <w:ind w:firstLine="709"/>
        <w:jc w:val="both"/>
        <w:rPr>
          <w:rFonts w:ascii="Arial" w:hAnsi="Arial" w:eastAsia="Arial" w:cs="Arial"/>
          <w:sz w:val="24"/>
          <w:szCs w:val="24"/>
        </w:rPr>
      </w:pPr>
      <w:r w:rsidRPr="60EAF375">
        <w:rPr>
          <w:rFonts w:ascii="Arial" w:hAnsi="Arial" w:eastAsia="Arial" w:cs="Arial"/>
          <w:sz w:val="24"/>
          <w:szCs w:val="24"/>
        </w:rPr>
        <w:t xml:space="preserve"> En el caso específico de las personas privadas de libertad, Ordóñez Espinoza y Álvarez </w:t>
      </w:r>
      <w:proofErr w:type="spellStart"/>
      <w:r w:rsidRPr="60EAF375">
        <w:rPr>
          <w:rFonts w:ascii="Arial" w:hAnsi="Arial" w:eastAsia="Arial" w:cs="Arial"/>
          <w:sz w:val="24"/>
          <w:szCs w:val="24"/>
        </w:rPr>
        <w:t>Saquinaula</w:t>
      </w:r>
      <w:proofErr w:type="spellEnd"/>
      <w:r w:rsidRPr="60EAF375">
        <w:rPr>
          <w:rFonts w:ascii="Arial" w:hAnsi="Arial" w:eastAsia="Arial" w:cs="Arial"/>
          <w:sz w:val="24"/>
          <w:szCs w:val="24"/>
        </w:rPr>
        <w:t xml:space="preserve"> (2022) señalan que la celotipia puede intensificarse debido a la percepción de pérdida de control sobre la pareja y la proliferación de ideas irracionales de infidelidades. Por ello, los autores argumentan que no basta con aplicar la TCC directamente; también es esencial implementar modelos carcelarios que incluyan la regulación emocional y garanticen condiciones adecuadas para los internos. La percepción de pérdida de valor en áreas como la económica y la sexual, derivada de su situación, puede contribuir a un aumento de comportamientos agresivos y de control hacia sus parejas.</w:t>
      </w:r>
    </w:p>
    <w:p w:rsidR="4A7B8907" w:rsidP="206C2CE6" w:rsidRDefault="01FEEC0D" w14:paraId="4DFB1922" w14:textId="095C7593">
      <w:pPr>
        <w:spacing w:line="360" w:lineRule="auto"/>
        <w:ind w:firstLine="709"/>
        <w:jc w:val="both"/>
        <w:rPr>
          <w:rFonts w:ascii="Arial" w:hAnsi="Arial" w:eastAsia="Arial" w:cs="Arial"/>
          <w:sz w:val="24"/>
          <w:szCs w:val="24"/>
        </w:rPr>
      </w:pPr>
      <w:r w:rsidRPr="60EAF375">
        <w:rPr>
          <w:rFonts w:ascii="Arial" w:hAnsi="Arial" w:eastAsia="Arial" w:cs="Arial"/>
          <w:sz w:val="24"/>
          <w:szCs w:val="24"/>
        </w:rPr>
        <w:t xml:space="preserve"> Además, en el ámbito de la VIF en relaciones de pareja, Hernández (2010), citado por Ordóñez Espinoza y Álvarez </w:t>
      </w:r>
      <w:proofErr w:type="spellStart"/>
      <w:r w:rsidRPr="60EAF375">
        <w:rPr>
          <w:rFonts w:ascii="Arial" w:hAnsi="Arial" w:eastAsia="Arial" w:cs="Arial"/>
          <w:sz w:val="24"/>
          <w:szCs w:val="24"/>
        </w:rPr>
        <w:t>Saquinaula</w:t>
      </w:r>
      <w:proofErr w:type="spellEnd"/>
      <w:r w:rsidRPr="60EAF375">
        <w:rPr>
          <w:rFonts w:ascii="Arial" w:hAnsi="Arial" w:eastAsia="Arial" w:cs="Arial"/>
          <w:sz w:val="24"/>
          <w:szCs w:val="24"/>
        </w:rPr>
        <w:t xml:space="preserve"> (2022), presenta un proceso de intervención que se extiende por nueve meses y comprende aproximadamente 26 sesiones. Este programa utiliza técnicas de terapias de tercera generación, junto con enfoques del conductismo radical, que permiten no solo controlar las conductas externas, sino también reducir la percepción subjetiva del malestar interno de los participantes. De esta manera, se busca abordar de manera integral la problemática de la celotipia y la violencia intrafamiliar en un contexto de privación de libertad.</w:t>
      </w:r>
    </w:p>
    <w:p w:rsidR="4A7B8907" w:rsidP="206C2CE6" w:rsidRDefault="31FC86F7" w14:paraId="6D72D2EE" w14:textId="3161E48C">
      <w:pPr>
        <w:spacing w:line="360" w:lineRule="auto"/>
        <w:ind w:firstLine="709"/>
        <w:jc w:val="both"/>
        <w:rPr>
          <w:rFonts w:ascii="Arial" w:hAnsi="Arial" w:eastAsia="Arial" w:cs="Arial"/>
          <w:sz w:val="24"/>
          <w:szCs w:val="24"/>
        </w:rPr>
      </w:pPr>
      <w:r w:rsidRPr="60EAF375">
        <w:rPr>
          <w:rFonts w:ascii="Arial" w:hAnsi="Arial" w:eastAsia="Arial" w:cs="Arial"/>
          <w:b/>
          <w:bCs/>
          <w:sz w:val="24"/>
          <w:szCs w:val="24"/>
        </w:rPr>
        <w:t>2</w:t>
      </w:r>
      <w:r w:rsidRPr="60EAF375">
        <w:rPr>
          <w:rFonts w:ascii="Arial" w:hAnsi="Arial" w:eastAsia="Arial" w:cs="Arial"/>
          <w:sz w:val="24"/>
          <w:szCs w:val="24"/>
        </w:rPr>
        <w:t xml:space="preserve">. </w:t>
      </w:r>
      <w:r w:rsidRPr="60EAF375" w:rsidR="00A61FAC">
        <w:rPr>
          <w:rFonts w:ascii="Arial" w:hAnsi="Arial" w:eastAsia="Arial" w:cs="Arial"/>
          <w:sz w:val="24"/>
          <w:szCs w:val="24"/>
        </w:rPr>
        <w:t xml:space="preserve">Arce y Fariña (2010) enfatizan que para desarrollar intervenciones efectivas en el contexto de la violencia intrafamiliar (VIF), es crucial establecer líneas base y llevar a cabo evaluaciones exhaustivas. Estas evaluaciones deben recopilar información relevante sobre carencias, habilidades, limitaciones, condiciones de salud y capacidades, lo que permitirá definir grupos adecuados, predecir riesgos y detectar engaños o simulaciones. El proceso de evaluación abarca varias fases: clínico-sanitaria (que incluye etiologías, capacidades cognitivas y psicopatología), psicosocial (centrándose en el área emocional, </w:t>
      </w:r>
      <w:proofErr w:type="spellStart"/>
      <w:r w:rsidRPr="60EAF375" w:rsidR="00A61FAC">
        <w:rPr>
          <w:rFonts w:ascii="Arial" w:hAnsi="Arial" w:eastAsia="Arial" w:cs="Arial"/>
          <w:sz w:val="24"/>
          <w:szCs w:val="24"/>
        </w:rPr>
        <w:t>autoconcepto</w:t>
      </w:r>
      <w:proofErr w:type="spellEnd"/>
      <w:r w:rsidRPr="60EAF375" w:rsidR="00A61FAC">
        <w:rPr>
          <w:rFonts w:ascii="Arial" w:hAnsi="Arial" w:eastAsia="Arial" w:cs="Arial"/>
          <w:sz w:val="24"/>
          <w:szCs w:val="24"/>
        </w:rPr>
        <w:t xml:space="preserve">, estrategias de afrontamiento, responsabilidad y comportamientos tanto desviados como </w:t>
      </w:r>
      <w:proofErr w:type="spellStart"/>
      <w:r w:rsidRPr="60EAF375" w:rsidR="00A61FAC">
        <w:rPr>
          <w:rFonts w:ascii="Arial" w:hAnsi="Arial" w:eastAsia="Arial" w:cs="Arial"/>
          <w:sz w:val="24"/>
          <w:szCs w:val="24"/>
        </w:rPr>
        <w:t>prosociales</w:t>
      </w:r>
      <w:proofErr w:type="spellEnd"/>
      <w:r w:rsidRPr="60EAF375" w:rsidR="00A61FAC">
        <w:rPr>
          <w:rFonts w:ascii="Arial" w:hAnsi="Arial" w:eastAsia="Arial" w:cs="Arial"/>
          <w:sz w:val="24"/>
          <w:szCs w:val="24"/>
        </w:rPr>
        <w:t xml:space="preserve">), sociocultural (considerando aprendizaje y socialización, historia </w:t>
      </w:r>
      <w:proofErr w:type="spellStart"/>
      <w:r w:rsidRPr="60EAF375" w:rsidR="00A61FAC">
        <w:rPr>
          <w:rFonts w:ascii="Arial" w:hAnsi="Arial" w:eastAsia="Arial" w:cs="Arial"/>
          <w:sz w:val="24"/>
          <w:szCs w:val="24"/>
        </w:rPr>
        <w:t>sociofamiliar</w:t>
      </w:r>
      <w:proofErr w:type="spellEnd"/>
      <w:r w:rsidRPr="60EAF375" w:rsidR="00A61FAC">
        <w:rPr>
          <w:rFonts w:ascii="Arial" w:hAnsi="Arial" w:eastAsia="Arial" w:cs="Arial"/>
          <w:sz w:val="24"/>
          <w:szCs w:val="24"/>
        </w:rPr>
        <w:t>, estereotipos y valores), estructural (que abarca el nivel educativo, área laboral y estructura familiar) y riesgo (que evalúa el proceso penal y las medidas de protección hacia otros). Además, los autores sugieren realizar una evaluación trimestral para ajustar los objetivos del tratamiento según los avances.</w:t>
      </w:r>
    </w:p>
    <w:p w:rsidR="4A7B8907" w:rsidP="206C2CE6" w:rsidRDefault="13D892B7" w14:paraId="39906ACF" w14:textId="7D84C0D9">
      <w:pPr>
        <w:spacing w:line="360" w:lineRule="auto"/>
        <w:ind w:firstLine="709"/>
        <w:jc w:val="both"/>
        <w:rPr>
          <w:rFonts w:ascii="Arial" w:hAnsi="Arial" w:eastAsia="Arial" w:cs="Arial"/>
          <w:sz w:val="24"/>
          <w:szCs w:val="24"/>
        </w:rPr>
      </w:pPr>
      <w:r w:rsidRPr="60EAF375">
        <w:rPr>
          <w:rFonts w:ascii="Arial" w:hAnsi="Arial" w:eastAsia="Arial" w:cs="Arial"/>
          <w:sz w:val="24"/>
          <w:szCs w:val="24"/>
        </w:rPr>
        <w:t>En particular, Arce y Fariña (2010) subrayan la necesidad de que los programas de intervención que aborden la violencia de género sean amplios y comprensivos. Esto se debe a que las “cogniciones tóxicas” tienden a ser reforzadas por una cultura patriarcal, lo que complica su erradicación y, a menudo, incrementa la vulnerabilidad a la repetición de agresiones. La intervención efectiva requiere tiempo suficiente para abordar cogniciones y comportamientos resistentes al tratamiento, logrando aprendizajes estables que promuevan repertorios comportamentales alternativos. Este proceso debe ser gradual, mediante entrenamientos y ensayos, para lograr que los nuevos comportamientos se generalicen en contextos naturales y se conviertan en hábitos duraderos.</w:t>
      </w:r>
    </w:p>
    <w:p w:rsidR="4A7B8907" w:rsidP="206C2CE6" w:rsidRDefault="00A61FAC" w14:paraId="314659C5" w14:textId="3E37A074">
      <w:pPr>
        <w:spacing w:line="360" w:lineRule="auto"/>
        <w:ind w:firstLine="709"/>
        <w:jc w:val="both"/>
        <w:rPr>
          <w:rFonts w:ascii="Arial" w:hAnsi="Arial" w:eastAsia="Arial" w:cs="Arial"/>
          <w:sz w:val="24"/>
          <w:szCs w:val="24"/>
        </w:rPr>
      </w:pPr>
      <w:r w:rsidRPr="60EAF375">
        <w:rPr>
          <w:rFonts w:ascii="Arial" w:hAnsi="Arial" w:eastAsia="Arial" w:cs="Arial"/>
          <w:sz w:val="24"/>
          <w:szCs w:val="24"/>
        </w:rPr>
        <w:t xml:space="preserve"> Asimismo, Arce y Fariña (2010) argumentan que las intervenciones deben ser multimodales, dirigidas tanto a cogniciones como a comportamientos, y abarcar tanto enfoques individuales como grupales que refuercen conductas alternativas. En cuanto a las intervenciones grupales, los autores enfatizan que deben ser formales, estructuradas y lideradas por expertos; de lo contrario, pueden transformarse en espacios de autoayuda que refuercen distorsiones y comportamientos agresivos, justificando la violencia en lugar de erradicarla. A pesar de que la privación de libertad no elimina la violencia, Arce y Fariña (2010) consideran que este contexto puede ofrecer una oportunidad valiosa para realizar intervenciones efectivas.</w:t>
      </w:r>
    </w:p>
    <w:p w:rsidR="4A7B8907" w:rsidP="206C2CE6" w:rsidRDefault="00A61FAC" w14:paraId="715586D7" w14:textId="10799F99">
      <w:pPr>
        <w:spacing w:line="360" w:lineRule="auto"/>
        <w:ind w:firstLine="709"/>
        <w:jc w:val="both"/>
        <w:rPr>
          <w:rFonts w:ascii="Arial" w:hAnsi="Arial" w:eastAsia="Arial" w:cs="Arial"/>
          <w:sz w:val="24"/>
          <w:szCs w:val="24"/>
        </w:rPr>
      </w:pPr>
      <w:r w:rsidRPr="60EAF375">
        <w:rPr>
          <w:rFonts w:ascii="Arial" w:hAnsi="Arial" w:eastAsia="Arial" w:cs="Arial"/>
          <w:sz w:val="24"/>
          <w:szCs w:val="24"/>
        </w:rPr>
        <w:t xml:space="preserve"> En lo que respecta al control del riesgo, </w:t>
      </w:r>
      <w:r w:rsidRPr="60EAF375" w:rsidR="118E4149">
        <w:rPr>
          <w:rFonts w:ascii="Arial" w:hAnsi="Arial" w:eastAsia="Arial" w:cs="Arial"/>
          <w:sz w:val="24"/>
          <w:szCs w:val="24"/>
        </w:rPr>
        <w:t xml:space="preserve">Arce y Fariña (2010) </w:t>
      </w:r>
      <w:r w:rsidRPr="60EAF375">
        <w:rPr>
          <w:rFonts w:ascii="Arial" w:hAnsi="Arial" w:eastAsia="Arial" w:cs="Arial"/>
          <w:sz w:val="24"/>
          <w:szCs w:val="24"/>
        </w:rPr>
        <w:t xml:space="preserve">retoman el programa de Galicia, que incluye un enfoque de control de riesgo ordinario y extraordinario. El primero se refiere a la generación de informes de avances y adherencia al proceso cada tres meses, con el establecimiento de niveles de riesgo que se comunican a las autoridades. En contraste, el control extraordinario se activa ante la detección de situaciones de riesgo inminente, enviando información de manera inmediata a las autoridades para proponer medidas a tomar. Además, en relación con la adherencia y progreso en el tratamiento, es vital evaluar si la persona está simulando responsabilidad por sus acciones y su compromiso con el tratamiento. Solo cuando se confirma una adherencia real, se procede a evaluar el progreso del tratamiento, así como el regreso o el estancamiento en el proceso de cambio. </w:t>
      </w:r>
    </w:p>
    <w:p w:rsidR="4A7B8907" w:rsidP="206C2CE6" w:rsidRDefault="7E93EBEE" w14:paraId="5E769B84" w14:textId="35869917">
      <w:pPr>
        <w:spacing w:line="360" w:lineRule="auto"/>
        <w:ind w:firstLine="709"/>
        <w:jc w:val="both"/>
        <w:rPr>
          <w:rFonts w:ascii="Arial" w:hAnsi="Arial" w:eastAsia="Arial" w:cs="Arial"/>
          <w:sz w:val="24"/>
          <w:szCs w:val="24"/>
        </w:rPr>
      </w:pPr>
      <w:r w:rsidRPr="60EAF375">
        <w:rPr>
          <w:rFonts w:ascii="Arial" w:hAnsi="Arial" w:eastAsia="Arial" w:cs="Arial"/>
          <w:b/>
          <w:bCs/>
          <w:sz w:val="24"/>
          <w:szCs w:val="24"/>
        </w:rPr>
        <w:t>3</w:t>
      </w:r>
      <w:r w:rsidRPr="60EAF375">
        <w:rPr>
          <w:rFonts w:ascii="Arial" w:hAnsi="Arial" w:eastAsia="Arial" w:cs="Arial"/>
          <w:sz w:val="24"/>
          <w:szCs w:val="24"/>
        </w:rPr>
        <w:t>.</w:t>
      </w:r>
      <w:r w:rsidRPr="60EAF375" w:rsidR="53CFFD80">
        <w:rPr>
          <w:rFonts w:ascii="Arial" w:hAnsi="Arial" w:eastAsia="Arial" w:cs="Arial"/>
          <w:sz w:val="24"/>
          <w:szCs w:val="24"/>
        </w:rPr>
        <w:t xml:space="preserve"> </w:t>
      </w:r>
      <w:proofErr w:type="spellStart"/>
      <w:r w:rsidRPr="60EAF375" w:rsidR="53CFFD80">
        <w:rPr>
          <w:rFonts w:ascii="Arial" w:hAnsi="Arial" w:eastAsia="Arial" w:cs="Arial"/>
          <w:sz w:val="24"/>
          <w:szCs w:val="24"/>
        </w:rPr>
        <w:t>Echeburúa</w:t>
      </w:r>
      <w:proofErr w:type="spellEnd"/>
      <w:r w:rsidRPr="60EAF375" w:rsidR="53CFFD80">
        <w:rPr>
          <w:rFonts w:ascii="Arial" w:hAnsi="Arial" w:eastAsia="Arial" w:cs="Arial"/>
          <w:sz w:val="24"/>
          <w:szCs w:val="24"/>
        </w:rPr>
        <w:t xml:space="preserve"> y Fernández-Montalvo (2009) evaluaron un programa de intervención cognitivo-conductual que constó de 20 sesiones grupales de dos horas cada una, enfocándose en abordar las dificultades de conducta y cognitivas relacionadas con la violencia de género. Este programa se estructuró en tres módulos: el primero, que incluía tres sesiones, se centró en los elementos motivacionales del cambio y en la responsabilidad personal. En el segundo módulo, que constó de 12 sesiones, se promovieron la empatía, las habilidades de comunicación, la solución de problemas, la modificación de distorsiones cognitivas y el control de la ira. Finalmente, el tercer módulo, compuesto por cinco sesiones, estuvo orientado a identificar situaciones de riesgo y desarrollar habilidades de afrontamiento adecuadas.</w:t>
      </w:r>
    </w:p>
    <w:p w:rsidR="4A7B8907" w:rsidP="206C2CE6" w:rsidRDefault="26AA6191" w14:paraId="07987D97" w14:textId="6DECCB5A">
      <w:pPr>
        <w:spacing w:line="360" w:lineRule="auto"/>
        <w:ind w:firstLine="709"/>
        <w:jc w:val="both"/>
        <w:rPr>
          <w:rFonts w:ascii="Arial" w:hAnsi="Arial" w:eastAsia="Arial" w:cs="Arial"/>
          <w:sz w:val="24"/>
          <w:szCs w:val="24"/>
        </w:rPr>
      </w:pPr>
      <w:r w:rsidRPr="60EAF375">
        <w:rPr>
          <w:rFonts w:ascii="Arial" w:hAnsi="Arial" w:eastAsia="Arial" w:cs="Arial"/>
          <w:sz w:val="24"/>
          <w:szCs w:val="24"/>
        </w:rPr>
        <w:t xml:space="preserve"> Las sesiones incluyeron una variedad de técnicas, como entrevistas, videos, </w:t>
      </w:r>
      <w:proofErr w:type="spellStart"/>
      <w:r w:rsidRPr="60EAF375">
        <w:rPr>
          <w:rFonts w:ascii="Arial" w:hAnsi="Arial" w:eastAsia="Arial" w:cs="Arial"/>
          <w:sz w:val="24"/>
          <w:szCs w:val="24"/>
        </w:rPr>
        <w:t>psicoeducación</w:t>
      </w:r>
      <w:proofErr w:type="spellEnd"/>
      <w:r w:rsidRPr="60EAF375">
        <w:rPr>
          <w:rFonts w:ascii="Arial" w:hAnsi="Arial" w:eastAsia="Arial" w:cs="Arial"/>
          <w:sz w:val="24"/>
          <w:szCs w:val="24"/>
        </w:rPr>
        <w:t>, reestructuración cognitiva, y explicaciones sobre el ciclo de la violencia y el proceso de escalada de la ira. Además, se implementaron estrategias como la distracción cognitiva, el entrenamiento en auto-instrucciones, la relajación, y el desarrollo de habilidades asertivas y comunicativas. Para la prevención de recaídas, se utilizaron técnicas adicionales, como la reevaluación cognitiva, el establecimiento de metas positivas, el consumo controlado (en caso de haber consumo de alcohol o sustancias psicoactivas), la identificación de situaciones de riesgo, el aprendizaje de estrategias de afrontamiento, y la creación de un estilo de vida positivo.</w:t>
      </w:r>
    </w:p>
    <w:p w:rsidR="4A7B8907" w:rsidP="206C2CE6" w:rsidRDefault="53CFFD80" w14:paraId="106D6D3A" w14:textId="601094FF">
      <w:pPr>
        <w:spacing w:line="360" w:lineRule="auto"/>
        <w:ind w:firstLine="709"/>
        <w:jc w:val="both"/>
        <w:rPr>
          <w:rFonts w:ascii="Arial" w:hAnsi="Arial" w:eastAsia="Arial" w:cs="Arial"/>
          <w:sz w:val="24"/>
          <w:szCs w:val="24"/>
        </w:rPr>
      </w:pPr>
      <w:r w:rsidRPr="60EAF375">
        <w:rPr>
          <w:rFonts w:ascii="Arial" w:hAnsi="Arial" w:eastAsia="Arial" w:cs="Arial"/>
          <w:sz w:val="24"/>
          <w:szCs w:val="24"/>
        </w:rPr>
        <w:t xml:space="preserve"> Los resultados obtenidos por </w:t>
      </w:r>
      <w:proofErr w:type="spellStart"/>
      <w:r w:rsidRPr="60EAF375">
        <w:rPr>
          <w:rFonts w:ascii="Arial" w:hAnsi="Arial" w:eastAsia="Arial" w:cs="Arial"/>
          <w:sz w:val="24"/>
          <w:szCs w:val="24"/>
        </w:rPr>
        <w:t>Echeburúa</w:t>
      </w:r>
      <w:proofErr w:type="spellEnd"/>
      <w:r w:rsidRPr="60EAF375">
        <w:rPr>
          <w:rFonts w:ascii="Arial" w:hAnsi="Arial" w:eastAsia="Arial" w:cs="Arial"/>
          <w:sz w:val="24"/>
          <w:szCs w:val="24"/>
        </w:rPr>
        <w:t xml:space="preserve"> y Fernández-Montalvo (2009) indicaron que se produjo una modificación en las cogniciones sobre las actitudes hacia las mujeres y el uso de la violencia en conflictos. Sin embargo, al ser un programa breve, no se pudo determinar si los cambios se mantuvieron a largo plazo, dado que existió una limitación en el seguimiento posterior al tratamiento. Además, las distorsiones cognitivas abordadas tienen un carácter complejo que se relaciona con el contexto machista y el </w:t>
      </w:r>
      <w:proofErr w:type="spellStart"/>
      <w:r w:rsidRPr="60EAF375">
        <w:rPr>
          <w:rFonts w:ascii="Arial" w:hAnsi="Arial" w:eastAsia="Arial" w:cs="Arial"/>
          <w:sz w:val="24"/>
          <w:szCs w:val="24"/>
        </w:rPr>
        <w:t>sobreaprendizaje</w:t>
      </w:r>
      <w:proofErr w:type="spellEnd"/>
      <w:r w:rsidRPr="60EAF375">
        <w:rPr>
          <w:rFonts w:ascii="Arial" w:hAnsi="Arial" w:eastAsia="Arial" w:cs="Arial"/>
          <w:sz w:val="24"/>
          <w:szCs w:val="24"/>
        </w:rPr>
        <w:t xml:space="preserve"> de estas ideas. A pesar de estas limitaciones, se identificaron cambios positivos en el control de la ira, una disminución de la impulsividad y un aumento de la autoestima entre los participantes.</w:t>
      </w:r>
    </w:p>
    <w:p w:rsidR="4A7B8907" w:rsidP="206C2CE6" w:rsidRDefault="54FA98DC" w14:paraId="5D1CCBD8" w14:textId="14DFF4B6">
      <w:pPr>
        <w:spacing w:line="360" w:lineRule="auto"/>
        <w:ind w:firstLine="709"/>
        <w:jc w:val="both"/>
        <w:rPr>
          <w:rFonts w:ascii="Arial" w:hAnsi="Arial" w:eastAsia="Arial" w:cs="Arial"/>
          <w:sz w:val="24"/>
          <w:szCs w:val="24"/>
        </w:rPr>
      </w:pPr>
      <w:r w:rsidRPr="60EAF375">
        <w:rPr>
          <w:rFonts w:ascii="Arial" w:hAnsi="Arial" w:eastAsia="Arial" w:cs="Arial"/>
          <w:b/>
          <w:bCs/>
          <w:sz w:val="24"/>
          <w:szCs w:val="24"/>
        </w:rPr>
        <w:t>4</w:t>
      </w:r>
      <w:r w:rsidRPr="60EAF375">
        <w:rPr>
          <w:rFonts w:ascii="Arial" w:hAnsi="Arial" w:eastAsia="Arial" w:cs="Arial"/>
          <w:sz w:val="24"/>
          <w:szCs w:val="24"/>
        </w:rPr>
        <w:t>.</w:t>
      </w:r>
      <w:r w:rsidRPr="60EAF375" w:rsidR="2807C1C6">
        <w:rPr>
          <w:rFonts w:ascii="Arial" w:hAnsi="Arial" w:eastAsia="Arial" w:cs="Arial"/>
          <w:sz w:val="24"/>
          <w:szCs w:val="24"/>
        </w:rPr>
        <w:t xml:space="preserve"> </w:t>
      </w:r>
      <w:r w:rsidRPr="60EAF375" w:rsidR="0C3540AA">
        <w:rPr>
          <w:rFonts w:ascii="Arial" w:hAnsi="Arial" w:eastAsia="Arial" w:cs="Arial"/>
          <w:sz w:val="24"/>
          <w:szCs w:val="24"/>
        </w:rPr>
        <w:t>Tijeras et al</w:t>
      </w:r>
      <w:r w:rsidRPr="60EAF375" w:rsidR="747F6057">
        <w:rPr>
          <w:rFonts w:ascii="Arial" w:hAnsi="Arial" w:eastAsia="Arial" w:cs="Arial"/>
          <w:sz w:val="24"/>
          <w:szCs w:val="24"/>
        </w:rPr>
        <w:t>.</w:t>
      </w:r>
      <w:r w:rsidRPr="60EAF375" w:rsidR="0C3540AA">
        <w:rPr>
          <w:rFonts w:ascii="Arial" w:hAnsi="Arial" w:eastAsia="Arial" w:cs="Arial"/>
          <w:sz w:val="24"/>
          <w:szCs w:val="24"/>
        </w:rPr>
        <w:t xml:space="preserve"> (2005) analizan un programa terapéutico destinado a maltratadores del ámbito familiar en el centro penitenciario de Pamplona, destacando que sus principales objetivos son garantizar la seguridad de las mujeres maltratadas, prevenir futuros casos de violencia, evitar la propagación de esta, fomentar la aceptación de responsabilidad personal sin recurrir a factores externos como excusas, desarrollar habilidades de autocontrol y comunicación asertiva, y concienciar sobre la influencia de la educación en la violencia.</w:t>
      </w:r>
    </w:p>
    <w:p w:rsidR="4A7B8907" w:rsidP="206C2CE6" w:rsidRDefault="2F5A8747" w14:paraId="762634D1" w14:textId="6EC92C67">
      <w:pPr>
        <w:spacing w:line="360" w:lineRule="auto"/>
        <w:ind w:firstLine="709"/>
        <w:jc w:val="both"/>
        <w:rPr>
          <w:rFonts w:ascii="Arial" w:hAnsi="Arial" w:eastAsia="Arial" w:cs="Arial"/>
          <w:sz w:val="24"/>
          <w:szCs w:val="24"/>
        </w:rPr>
      </w:pPr>
      <w:r w:rsidRPr="60EAF375">
        <w:rPr>
          <w:rFonts w:ascii="Arial" w:hAnsi="Arial" w:eastAsia="Arial" w:cs="Arial"/>
          <w:sz w:val="24"/>
          <w:szCs w:val="24"/>
        </w:rPr>
        <w:t xml:space="preserve"> El programa se estructura en varias fases, comenzando con una evaluación inicial a la que se someten los participantes, quienes son seleccionados por la Junta de Tratamiento del Centro Penitenciario y acceden de forma voluntaria. Aquellos que superan esta evaluación inician primero terapia individual, seguida de sesiones grupales. Se realiza un seguimiento a los 1, 3, 6 y 12 meses tras la finalización del tratamiento, utilizando entrevistas estructuradas y cuestionarios que recogen información sobre condiciones laborales, estado de salud, antecedentes penales, entre otros.</w:t>
      </w:r>
    </w:p>
    <w:p w:rsidR="4A7B8907" w:rsidP="206C2CE6" w:rsidRDefault="2F5A8747" w14:paraId="02A07305" w14:textId="16F5D7C9">
      <w:pPr>
        <w:spacing w:line="360" w:lineRule="auto"/>
        <w:ind w:firstLine="709"/>
        <w:jc w:val="both"/>
        <w:rPr>
          <w:rFonts w:ascii="Arial" w:hAnsi="Arial" w:eastAsia="Arial" w:cs="Arial"/>
          <w:sz w:val="24"/>
          <w:szCs w:val="24"/>
        </w:rPr>
      </w:pPr>
      <w:r w:rsidRPr="60EAF375">
        <w:rPr>
          <w:rFonts w:ascii="Arial" w:hAnsi="Arial" w:eastAsia="Arial" w:cs="Arial"/>
          <w:sz w:val="24"/>
          <w:szCs w:val="24"/>
        </w:rPr>
        <w:t>Para asegurar la idoneidad de los participantes, se aplican criterios de exclusión que incluyen la presencia de psicopatologías graves, adicciones y el contacto previo del terapeuta con la víctima. Este seguimiento es fundamental para prevenir recaídas y garantizar la aplicación efectiva de lo aprendido, a través de sesiones que evalúan el progreso y refuerzan las habilidades adquiridas. Así, el programa no solo se enfoca en tratar a los agresores, sino que también busca garantizar la seguridad de las víctimas y promover una rehabilitación efectiva.</w:t>
      </w:r>
    </w:p>
    <w:p w:rsidR="4A7B8907" w:rsidP="206C2CE6" w:rsidRDefault="0C3540AA" w14:paraId="00ABD8A5" w14:textId="2B0F4EE7">
      <w:pPr>
        <w:spacing w:line="360" w:lineRule="auto"/>
        <w:ind w:firstLine="709"/>
        <w:jc w:val="both"/>
        <w:rPr>
          <w:rFonts w:ascii="Arial" w:hAnsi="Arial" w:eastAsia="Arial" w:cs="Arial"/>
          <w:sz w:val="24"/>
          <w:szCs w:val="24"/>
        </w:rPr>
      </w:pPr>
      <w:r w:rsidRPr="60EAF375">
        <w:rPr>
          <w:rFonts w:ascii="Arial" w:hAnsi="Arial" w:eastAsia="Arial" w:cs="Arial"/>
          <w:sz w:val="24"/>
          <w:szCs w:val="24"/>
        </w:rPr>
        <w:t xml:space="preserve"> Además, el programa se ofrece tanto en prisión como en modalidad ambulatoria para aquellos agresores que no se encuentran privados de libertad. El análisis del programa sugiere que la privación de libertad por sí sola no siempre es efectiva debido a los sentimientos de injusticia y miedo que experimentan los agresores, lo que puede incrementar el riesgo de recaída. En cambio, la combinación de la privación de libertad con tratamiento terapéutico se ha demostrado más beneficiosa, ya que los participantes que completan el programa muestran mejoras significativas en su proceso de rehabilitación.</w:t>
      </w:r>
    </w:p>
    <w:p w:rsidR="4A7B8907" w:rsidP="206C2CE6" w:rsidRDefault="40D17B91" w14:paraId="4491D40A" w14:textId="64A777F5">
      <w:pPr>
        <w:spacing w:line="360" w:lineRule="auto"/>
        <w:ind w:firstLine="709"/>
        <w:jc w:val="both"/>
        <w:rPr>
          <w:rFonts w:ascii="Arial" w:hAnsi="Arial" w:eastAsia="Arial" w:cs="Arial"/>
          <w:sz w:val="24"/>
          <w:szCs w:val="24"/>
        </w:rPr>
      </w:pPr>
      <w:r w:rsidRPr="60EAF375">
        <w:rPr>
          <w:rFonts w:ascii="Arial" w:hAnsi="Arial" w:eastAsia="Arial" w:cs="Arial"/>
          <w:b/>
          <w:bCs/>
          <w:sz w:val="24"/>
          <w:szCs w:val="24"/>
        </w:rPr>
        <w:t xml:space="preserve">5. </w:t>
      </w:r>
      <w:r w:rsidRPr="60EAF375" w:rsidR="69330D9F">
        <w:rPr>
          <w:rFonts w:ascii="Arial" w:hAnsi="Arial" w:eastAsia="Arial" w:cs="Arial"/>
          <w:sz w:val="24"/>
          <w:szCs w:val="24"/>
        </w:rPr>
        <w:t>Ramírez et al. (2013) evalúan un programa de tratamiento dirigido a agresores de pareja, implementado en formato grupal con grupos cerrados en la mayoría de los casos. Cada grupo, compuesto por entre 12 y 15 participantes, sigue un programa que abarca 25 sesiones grupales, cada una de dos horas de duración. Además, se incluyen al menos dos sesiones individuales de una hora, aunque este número puede variar en función de las necesidades terapéuticas de cada participante y la evaluación realizada por los terapeutas. La duración total del programa oscila entre seis meses y un año, dependiendo del perfil de los usuarios, su riesgo de reincidencia, la duración de la condena y la evolución de los participantes.</w:t>
      </w:r>
    </w:p>
    <w:p w:rsidR="4A7B8907" w:rsidP="206C2CE6" w:rsidRDefault="1C91D12D" w14:paraId="2B61AFC3" w14:textId="44AF57EA">
      <w:pPr>
        <w:spacing w:line="360" w:lineRule="auto"/>
        <w:ind w:firstLine="709"/>
        <w:jc w:val="both"/>
        <w:rPr>
          <w:rFonts w:ascii="Arial" w:hAnsi="Arial" w:eastAsia="Arial" w:cs="Arial"/>
          <w:sz w:val="24"/>
          <w:szCs w:val="24"/>
        </w:rPr>
      </w:pPr>
      <w:r w:rsidRPr="60EAF375">
        <w:rPr>
          <w:rFonts w:ascii="Arial" w:hAnsi="Arial" w:eastAsia="Arial" w:cs="Arial"/>
          <w:sz w:val="24"/>
          <w:szCs w:val="24"/>
        </w:rPr>
        <w:t xml:space="preserve"> En la evaluación del programa, se destaca su enfoque en fomentar la aceptación de responsabilidad por parte de los participantes respecto a los delitos cometidos. Dos objetivos clave del tratamiento son el reconocimiento de los hechos y la toma de conciencia del daño causado a las víctimas</w:t>
      </w:r>
      <w:r w:rsidRPr="60EAF375" w:rsidR="3AF8C32D">
        <w:rPr>
          <w:rFonts w:ascii="Arial" w:hAnsi="Arial" w:eastAsia="Arial" w:cs="Arial"/>
          <w:sz w:val="24"/>
          <w:szCs w:val="24"/>
        </w:rPr>
        <w:t xml:space="preserve"> (coherente con el enfoque restaurativo)</w:t>
      </w:r>
      <w:r w:rsidRPr="60EAF375">
        <w:rPr>
          <w:rFonts w:ascii="Arial" w:hAnsi="Arial" w:eastAsia="Arial" w:cs="Arial"/>
          <w:sz w:val="24"/>
          <w:szCs w:val="24"/>
        </w:rPr>
        <w:t>. A lo largo del programa, se observa una disminución en las actitudes sexistas, tanto benevolentes como hostiles, entre los participantes. Este cambio implica una reducción del paternalismo hacia la sumisión femenina y de las manifestaciones hostiles que denotan su inferioridad. Además, se logra una disminución significativa en los niveles de celos patológicos.</w:t>
      </w:r>
    </w:p>
    <w:p w:rsidR="4A7B8907" w:rsidP="206C2CE6" w:rsidRDefault="69330D9F" w14:paraId="3B8B4AFB" w14:textId="2A8F1B85">
      <w:pPr>
        <w:spacing w:line="360" w:lineRule="auto"/>
        <w:ind w:firstLine="709"/>
        <w:jc w:val="both"/>
        <w:rPr>
          <w:rFonts w:ascii="Arial" w:hAnsi="Arial" w:eastAsia="Arial" w:cs="Arial"/>
          <w:sz w:val="24"/>
          <w:szCs w:val="24"/>
        </w:rPr>
      </w:pPr>
      <w:r w:rsidRPr="60EAF375">
        <w:rPr>
          <w:rFonts w:ascii="Arial" w:hAnsi="Arial" w:eastAsia="Arial" w:cs="Arial"/>
          <w:sz w:val="24"/>
          <w:szCs w:val="24"/>
        </w:rPr>
        <w:t xml:space="preserve"> En cuanto a la agresividad, aunque el nivel general muestra una disminución, este cambio no alcanza significancia estadística. Sin embargo, la </w:t>
      </w:r>
      <w:proofErr w:type="spellStart"/>
      <w:r w:rsidRPr="60EAF375">
        <w:rPr>
          <w:rFonts w:ascii="Arial" w:hAnsi="Arial" w:eastAsia="Arial" w:cs="Arial"/>
          <w:sz w:val="24"/>
          <w:szCs w:val="24"/>
        </w:rPr>
        <w:t>subescala</w:t>
      </w:r>
      <w:proofErr w:type="spellEnd"/>
      <w:r w:rsidRPr="60EAF375">
        <w:rPr>
          <w:rFonts w:ascii="Arial" w:hAnsi="Arial" w:eastAsia="Arial" w:cs="Arial"/>
          <w:sz w:val="24"/>
          <w:szCs w:val="24"/>
        </w:rPr>
        <w:t xml:space="preserve"> de hostilidad revela mejoras significativas; los participantes tienden a exteriorizar menos su ira y a controlarla de manera más efectiva, expresándola de formas menos dañinas. Estos resultados sugieren que, si bien el programa tiene un impacto positivo en la reducción de actitudes y comportamientos agresivos, es necesario continuar con el seguimiento y la evaluación para garantizar la eficacia a largo plazo del tratamiento.</w:t>
      </w:r>
    </w:p>
    <w:p w:rsidR="4A7B8907" w:rsidP="206C2CE6" w:rsidRDefault="2EECA466" w14:paraId="307E7A07" w14:textId="0FE51A9F">
      <w:pPr>
        <w:spacing w:line="360" w:lineRule="auto"/>
        <w:ind w:firstLine="709"/>
        <w:jc w:val="both"/>
        <w:rPr>
          <w:rFonts w:ascii="Arial" w:hAnsi="Arial" w:eastAsia="Arial" w:cs="Arial"/>
          <w:sz w:val="24"/>
          <w:szCs w:val="24"/>
        </w:rPr>
      </w:pPr>
      <w:r w:rsidRPr="60EAF375">
        <w:rPr>
          <w:rFonts w:ascii="Arial" w:hAnsi="Arial" w:eastAsia="Arial" w:cs="Arial"/>
          <w:b/>
          <w:bCs/>
          <w:sz w:val="24"/>
          <w:szCs w:val="24"/>
        </w:rPr>
        <w:t>6.</w:t>
      </w:r>
      <w:r w:rsidRPr="60EAF375">
        <w:rPr>
          <w:rFonts w:ascii="Arial" w:hAnsi="Arial" w:eastAsia="Arial" w:cs="Arial"/>
          <w:sz w:val="24"/>
          <w:szCs w:val="24"/>
        </w:rPr>
        <w:t xml:space="preserve"> </w:t>
      </w:r>
      <w:r w:rsidRPr="60EAF375" w:rsidR="43A81F25">
        <w:rPr>
          <w:rFonts w:ascii="Arial" w:hAnsi="Arial" w:eastAsia="Arial" w:cs="Arial"/>
          <w:sz w:val="24"/>
          <w:szCs w:val="24"/>
        </w:rPr>
        <w:t>En la investigación de Vargas</w:t>
      </w:r>
      <w:r w:rsidRPr="60EAF375" w:rsidR="797597E3">
        <w:rPr>
          <w:rFonts w:ascii="Arial" w:hAnsi="Arial" w:eastAsia="Arial" w:cs="Arial"/>
          <w:sz w:val="24"/>
          <w:szCs w:val="24"/>
        </w:rPr>
        <w:t xml:space="preserve"> et al. </w:t>
      </w:r>
      <w:r w:rsidRPr="60EAF375" w:rsidR="43A81F25">
        <w:rPr>
          <w:rFonts w:ascii="Arial" w:hAnsi="Arial" w:eastAsia="Arial" w:cs="Arial"/>
          <w:sz w:val="24"/>
          <w:szCs w:val="24"/>
        </w:rPr>
        <w:t>(2015), se examina el impacto del programa Contexto, diseñado para hombres condenados por violencia de género, con el objetivo de modificar sus conductas y prevenir futuras agresiones hacia sus parejas e hijos. Este programa se fundamenta en el Modelo Ecológico, que considera factores personales, interpersonales, contextuales y sociales, abordando la violencia como un problema social influenciado por el entorno del agresor (Lila et al., 2010).</w:t>
      </w:r>
    </w:p>
    <w:p w:rsidR="4A7B8907" w:rsidP="206C2CE6" w:rsidRDefault="7AC47191" w14:paraId="4EABA40C" w14:textId="1B3AA40D">
      <w:pPr>
        <w:spacing w:line="360" w:lineRule="auto"/>
        <w:ind w:firstLine="709"/>
        <w:jc w:val="both"/>
        <w:rPr>
          <w:rFonts w:ascii="Arial" w:hAnsi="Arial" w:eastAsia="Arial" w:cs="Arial"/>
          <w:sz w:val="24"/>
          <w:szCs w:val="24"/>
        </w:rPr>
      </w:pPr>
      <w:r w:rsidRPr="60EAF375">
        <w:rPr>
          <w:rFonts w:ascii="Arial" w:hAnsi="Arial" w:eastAsia="Arial" w:cs="Arial"/>
          <w:sz w:val="24"/>
          <w:szCs w:val="24"/>
        </w:rPr>
        <w:t xml:space="preserve"> El Programa Contexto se estructura en tres fases: Evaluación, Intervención y Seguimiento. La fase de Evaluación, que tiene una duración de tres meses, se centra en recopilar información sobre los participantes y en verificar si cumplen los criterios de inclusión, excluyendo a aquellos que presentan trastornos graves o conductas peligrosas. Posteriormente, la fase de Intervención, que se extiende aproximadamente un año, involucra sesiones grupales y actividades orientadas al control de la ira, la resolución de conflictos y la modificación de actitudes sexistas, integrando además el contexto social del agresor y trabajando con sus redes de apoyo. Finalmente, la fase de Seguimiento se realiza cada tres meses durante un período de 18 meses, proporcionando apoyo adicional y evaluando la efectividad del programa.</w:t>
      </w:r>
    </w:p>
    <w:p w:rsidR="4A7B8907" w:rsidP="206C2CE6" w:rsidRDefault="7AC47191" w14:paraId="689E3FF2" w14:textId="0C98E454">
      <w:pPr>
        <w:spacing w:line="360" w:lineRule="auto"/>
        <w:ind w:firstLine="709"/>
        <w:jc w:val="both"/>
        <w:rPr>
          <w:rFonts w:ascii="Arial" w:hAnsi="Arial" w:eastAsia="Arial" w:cs="Arial"/>
          <w:sz w:val="24"/>
          <w:szCs w:val="24"/>
        </w:rPr>
      </w:pPr>
      <w:r w:rsidRPr="60EAF375">
        <w:rPr>
          <w:rFonts w:ascii="Arial" w:hAnsi="Arial" w:eastAsia="Arial" w:cs="Arial"/>
          <w:sz w:val="24"/>
          <w:szCs w:val="24"/>
        </w:rPr>
        <w:t xml:space="preserve"> El estudio de Vargas et al. (2015) analizó una muestra de 278 hombres, tanto latinoamericanos como españoles, con penas menores a dos años por violencia de pareja. Se observaron diferencias sociodemográficas significativas: los hombres españoles eran de mayor edad y tenían un menor nivel educativo, pero disfrutaban de un nivel socioeconómico más alto en comparación con sus contrapartes latinoamericanas. Además, los hombres latinoamericanos presentaron una menor percepción de la gravedad de la violencia de género, una mayor tendencia a culpar a la víctima y una mayor aceptación de la violencia.</w:t>
      </w:r>
    </w:p>
    <w:p w:rsidR="4A7B8907" w:rsidP="206C2CE6" w:rsidRDefault="43A81F25" w14:paraId="36ED17D6" w14:textId="2C6002DF">
      <w:pPr>
        <w:spacing w:line="360" w:lineRule="auto"/>
        <w:ind w:firstLine="709"/>
        <w:jc w:val="both"/>
        <w:rPr>
          <w:rFonts w:ascii="Arial" w:hAnsi="Arial" w:eastAsia="Arial" w:cs="Arial"/>
          <w:sz w:val="24"/>
          <w:szCs w:val="24"/>
        </w:rPr>
      </w:pPr>
      <w:r w:rsidRPr="60EAF375">
        <w:rPr>
          <w:rFonts w:ascii="Arial" w:hAnsi="Arial" w:eastAsia="Arial" w:cs="Arial"/>
          <w:sz w:val="24"/>
          <w:szCs w:val="24"/>
        </w:rPr>
        <w:t xml:space="preserve"> Los resultados del estudio revelaron que, tras la intervención, ambos grupos mostraron mejoras significativas. Hubo un aumento en la percepción de la gravedad de la violencia de pareja, así como una disminución en factores que legitimaban la violencia, como la </w:t>
      </w:r>
      <w:proofErr w:type="spellStart"/>
      <w:r w:rsidRPr="60EAF375">
        <w:rPr>
          <w:rFonts w:ascii="Arial" w:hAnsi="Arial" w:eastAsia="Arial" w:cs="Arial"/>
          <w:sz w:val="24"/>
          <w:szCs w:val="24"/>
        </w:rPr>
        <w:t>culpabilización</w:t>
      </w:r>
      <w:proofErr w:type="spellEnd"/>
      <w:r w:rsidRPr="60EAF375">
        <w:rPr>
          <w:rFonts w:ascii="Arial" w:hAnsi="Arial" w:eastAsia="Arial" w:cs="Arial"/>
          <w:sz w:val="24"/>
          <w:szCs w:val="24"/>
        </w:rPr>
        <w:t xml:space="preserve"> de la víctima y actitudes sexistas. Asimismo, se redujo la atribución de responsabilidad al sistema legal y a la víctima, lo que conllevó a una disminución en el riesgo de reincidencia. Este hallazgo sugiere que el programa fue igualmente efectivo para ambos grupos, lo que indica que no es necesaria una adaptación cultural del mismo para alcanzar resultados positivos.</w:t>
      </w:r>
      <w:r w:rsidRPr="60EAF375" w:rsidR="06A1C3E2">
        <w:rPr>
          <w:rFonts w:ascii="Arial" w:hAnsi="Arial" w:eastAsia="Arial" w:cs="Arial"/>
          <w:sz w:val="24"/>
          <w:szCs w:val="24"/>
        </w:rPr>
        <w:t xml:space="preserve"> </w:t>
      </w:r>
    </w:p>
    <w:p w:rsidR="1AEC7626" w:rsidP="206C2CE6" w:rsidRDefault="59B97796" w14:paraId="474E5CB2" w14:textId="2FEA2C03">
      <w:pPr>
        <w:spacing w:line="360" w:lineRule="auto"/>
        <w:ind w:firstLine="709"/>
        <w:jc w:val="both"/>
        <w:rPr>
          <w:rFonts w:ascii="Arial" w:hAnsi="Arial" w:eastAsia="Arial" w:cs="Arial"/>
          <w:sz w:val="24"/>
          <w:szCs w:val="24"/>
        </w:rPr>
      </w:pPr>
      <w:r w:rsidRPr="60EAF375">
        <w:rPr>
          <w:rFonts w:ascii="Arial" w:hAnsi="Arial" w:eastAsia="Arial" w:cs="Arial"/>
          <w:b/>
          <w:bCs/>
          <w:sz w:val="24"/>
          <w:szCs w:val="24"/>
        </w:rPr>
        <w:t>7.</w:t>
      </w:r>
      <w:r w:rsidRPr="60EAF375" w:rsidR="4798B665">
        <w:rPr>
          <w:rFonts w:ascii="Arial" w:hAnsi="Arial" w:eastAsia="Arial" w:cs="Arial"/>
          <w:sz w:val="24"/>
          <w:szCs w:val="24"/>
        </w:rPr>
        <w:t xml:space="preserve"> En relación con los programas de justicia restaurativa, </w:t>
      </w:r>
      <w:proofErr w:type="spellStart"/>
      <w:r w:rsidRPr="60EAF375" w:rsidR="4798B665">
        <w:rPr>
          <w:rFonts w:ascii="Arial" w:hAnsi="Arial" w:eastAsia="Arial" w:cs="Arial"/>
          <w:sz w:val="24"/>
          <w:szCs w:val="24"/>
        </w:rPr>
        <w:t>Tamarit</w:t>
      </w:r>
      <w:proofErr w:type="spellEnd"/>
      <w:r w:rsidRPr="60EAF375" w:rsidR="4798B665">
        <w:rPr>
          <w:rFonts w:ascii="Arial" w:hAnsi="Arial" w:eastAsia="Arial" w:cs="Arial"/>
          <w:sz w:val="24"/>
          <w:szCs w:val="24"/>
        </w:rPr>
        <w:t xml:space="preserve"> </w:t>
      </w:r>
      <w:proofErr w:type="spellStart"/>
      <w:r w:rsidRPr="60EAF375" w:rsidR="4798B665">
        <w:rPr>
          <w:rFonts w:ascii="Arial" w:hAnsi="Arial" w:eastAsia="Arial" w:cs="Arial"/>
          <w:sz w:val="24"/>
          <w:szCs w:val="24"/>
        </w:rPr>
        <w:t>Sumalla</w:t>
      </w:r>
      <w:proofErr w:type="spellEnd"/>
      <w:r w:rsidRPr="60EAF375" w:rsidR="4798B665">
        <w:rPr>
          <w:rFonts w:ascii="Arial" w:hAnsi="Arial" w:eastAsia="Arial" w:cs="Arial"/>
          <w:sz w:val="24"/>
          <w:szCs w:val="24"/>
        </w:rPr>
        <w:t xml:space="preserve"> (2013) destaca que este enfoque se fundamenta en un conjunto de prácticas que priorizan la restauración de las relaciones sociales, la pacificación de conflictos y la reparación del daño, presentando una alternativa no punitiva a la resolución de disputas. En la actualidad, la justicia restaurativa ha evolucionado hacia la definición de principios comunes que guían los programas, entre los cuales se encuentran el empoderamiento y la participación voluntaria de las partes involucradas, un enfoque centrado en la víctima, el reconocimiento del papel de la comunidad y la evaluación sistemática de los programas. Esta evolución conlleva una re-evaluación de los roles tradicionales de víctima y ofensor. </w:t>
      </w:r>
    </w:p>
    <w:p w:rsidR="1AEC7626" w:rsidP="206C2CE6" w:rsidRDefault="56EC4E20" w14:paraId="3252DF71" w14:textId="713ABCEB">
      <w:pPr>
        <w:spacing w:line="360" w:lineRule="auto"/>
        <w:ind w:firstLine="709"/>
        <w:jc w:val="both"/>
        <w:rPr>
          <w:rFonts w:ascii="Arial" w:hAnsi="Arial" w:eastAsia="Arial" w:cs="Arial"/>
          <w:sz w:val="24"/>
          <w:szCs w:val="24"/>
        </w:rPr>
      </w:pPr>
      <w:r w:rsidRPr="60EAF375">
        <w:rPr>
          <w:rFonts w:ascii="Arial" w:hAnsi="Arial" w:eastAsia="Arial" w:cs="Arial"/>
          <w:sz w:val="24"/>
          <w:szCs w:val="24"/>
        </w:rPr>
        <w:t xml:space="preserve">Además, </w:t>
      </w:r>
      <w:proofErr w:type="spellStart"/>
      <w:r w:rsidRPr="60EAF375">
        <w:rPr>
          <w:rFonts w:ascii="Arial" w:hAnsi="Arial" w:eastAsia="Arial" w:cs="Arial"/>
          <w:sz w:val="24"/>
          <w:szCs w:val="24"/>
        </w:rPr>
        <w:t>Tamarit</w:t>
      </w:r>
      <w:proofErr w:type="spellEnd"/>
      <w:r w:rsidRPr="60EAF375">
        <w:rPr>
          <w:rFonts w:ascii="Arial" w:hAnsi="Arial" w:eastAsia="Arial" w:cs="Arial"/>
          <w:sz w:val="24"/>
          <w:szCs w:val="24"/>
        </w:rPr>
        <w:t xml:space="preserve"> </w:t>
      </w:r>
      <w:proofErr w:type="spellStart"/>
      <w:r w:rsidRPr="60EAF375">
        <w:rPr>
          <w:rFonts w:ascii="Arial" w:hAnsi="Arial" w:eastAsia="Arial" w:cs="Arial"/>
          <w:sz w:val="24"/>
          <w:szCs w:val="24"/>
        </w:rPr>
        <w:t>Sumalla</w:t>
      </w:r>
      <w:proofErr w:type="spellEnd"/>
      <w:r w:rsidRPr="60EAF375">
        <w:rPr>
          <w:rFonts w:ascii="Arial" w:hAnsi="Arial" w:eastAsia="Arial" w:cs="Arial"/>
          <w:sz w:val="24"/>
          <w:szCs w:val="24"/>
        </w:rPr>
        <w:t xml:space="preserve"> (2013) informa que las encuestas de satisfacción realizadas en programas de justicia restaurativa han revelado altos niveles de contento entre los participantes, con un 90% de las víctimas y entre un 70% y un 90% de los infractores manifestando satisfacción con el proceso. Este dato resalta la importancia de la comunicación con los facilitadores y la percepción de justicia durante las intervenciones. En el Reino Unido, programas como </w:t>
      </w:r>
      <w:proofErr w:type="spellStart"/>
      <w:r w:rsidRPr="60EAF375">
        <w:rPr>
          <w:rFonts w:ascii="Arial" w:hAnsi="Arial" w:eastAsia="Arial" w:cs="Arial"/>
          <w:sz w:val="24"/>
          <w:szCs w:val="24"/>
        </w:rPr>
        <w:t>Connect</w:t>
      </w:r>
      <w:proofErr w:type="spellEnd"/>
      <w:r w:rsidRPr="60EAF375">
        <w:rPr>
          <w:rFonts w:ascii="Arial" w:hAnsi="Arial" w:eastAsia="Arial" w:cs="Arial"/>
          <w:sz w:val="24"/>
          <w:szCs w:val="24"/>
        </w:rPr>
        <w:t xml:space="preserve"> y </w:t>
      </w:r>
      <w:proofErr w:type="spellStart"/>
      <w:r w:rsidRPr="60EAF375">
        <w:rPr>
          <w:rFonts w:ascii="Arial" w:hAnsi="Arial" w:eastAsia="Arial" w:cs="Arial"/>
          <w:sz w:val="24"/>
          <w:szCs w:val="24"/>
        </w:rPr>
        <w:t>Remedi</w:t>
      </w:r>
      <w:proofErr w:type="spellEnd"/>
      <w:r w:rsidRPr="60EAF375">
        <w:rPr>
          <w:rFonts w:ascii="Arial" w:hAnsi="Arial" w:eastAsia="Arial" w:cs="Arial"/>
          <w:sz w:val="24"/>
          <w:szCs w:val="24"/>
        </w:rPr>
        <w:t xml:space="preserve"> han reportado niveles de satisfacción superiores al 80% entre los participantes, alcanzando un notable 98% de acuerdos restaurativos.</w:t>
      </w:r>
    </w:p>
    <w:p w:rsidR="56EC4E20" w:rsidP="206C2CE6" w:rsidRDefault="56EC4E20" w14:paraId="2B95D3E1" w14:textId="19426797">
      <w:pPr>
        <w:spacing w:line="360" w:lineRule="auto"/>
        <w:ind w:firstLine="709"/>
        <w:jc w:val="both"/>
        <w:rPr>
          <w:rFonts w:ascii="Arial" w:hAnsi="Arial" w:eastAsia="Arial" w:cs="Arial"/>
          <w:sz w:val="24"/>
          <w:szCs w:val="24"/>
        </w:rPr>
      </w:pPr>
      <w:r w:rsidRPr="60EAF375">
        <w:rPr>
          <w:rFonts w:ascii="Arial" w:hAnsi="Arial" w:eastAsia="Arial" w:cs="Arial"/>
          <w:sz w:val="24"/>
          <w:szCs w:val="24"/>
        </w:rPr>
        <w:t xml:space="preserve"> El programa de </w:t>
      </w:r>
      <w:proofErr w:type="spellStart"/>
      <w:r w:rsidRPr="60EAF375">
        <w:rPr>
          <w:rFonts w:ascii="Arial" w:hAnsi="Arial" w:eastAsia="Arial" w:cs="Arial"/>
          <w:sz w:val="24"/>
          <w:szCs w:val="24"/>
        </w:rPr>
        <w:t>conferencing</w:t>
      </w:r>
      <w:proofErr w:type="spellEnd"/>
      <w:r w:rsidRPr="60EAF375">
        <w:rPr>
          <w:rFonts w:ascii="Arial" w:hAnsi="Arial" w:eastAsia="Arial" w:cs="Arial"/>
          <w:sz w:val="24"/>
          <w:szCs w:val="24"/>
        </w:rPr>
        <w:t xml:space="preserve"> del </w:t>
      </w:r>
      <w:proofErr w:type="spellStart"/>
      <w:r w:rsidRPr="60EAF375">
        <w:rPr>
          <w:rFonts w:ascii="Arial" w:hAnsi="Arial" w:eastAsia="Arial" w:cs="Arial"/>
          <w:sz w:val="24"/>
          <w:szCs w:val="24"/>
        </w:rPr>
        <w:t>Justice</w:t>
      </w:r>
      <w:proofErr w:type="spellEnd"/>
      <w:r w:rsidRPr="60EAF375">
        <w:rPr>
          <w:rFonts w:ascii="Arial" w:hAnsi="Arial" w:eastAsia="Arial" w:cs="Arial"/>
          <w:sz w:val="24"/>
          <w:szCs w:val="24"/>
        </w:rPr>
        <w:t xml:space="preserve"> </w:t>
      </w:r>
      <w:proofErr w:type="spellStart"/>
      <w:r w:rsidRPr="60EAF375">
        <w:rPr>
          <w:rFonts w:ascii="Arial" w:hAnsi="Arial" w:eastAsia="Arial" w:cs="Arial"/>
          <w:sz w:val="24"/>
          <w:szCs w:val="24"/>
        </w:rPr>
        <w:t>Research</w:t>
      </w:r>
      <w:proofErr w:type="spellEnd"/>
      <w:r w:rsidRPr="60EAF375">
        <w:rPr>
          <w:rFonts w:ascii="Arial" w:hAnsi="Arial" w:eastAsia="Arial" w:cs="Arial"/>
          <w:sz w:val="24"/>
          <w:szCs w:val="24"/>
        </w:rPr>
        <w:t xml:space="preserve"> </w:t>
      </w:r>
      <w:proofErr w:type="spellStart"/>
      <w:r w:rsidRPr="60EAF375">
        <w:rPr>
          <w:rFonts w:ascii="Arial" w:hAnsi="Arial" w:eastAsia="Arial" w:cs="Arial"/>
          <w:sz w:val="24"/>
          <w:szCs w:val="24"/>
        </w:rPr>
        <w:t>Consortium</w:t>
      </w:r>
      <w:proofErr w:type="spellEnd"/>
      <w:r w:rsidRPr="60EAF375" w:rsidR="0D74801D">
        <w:rPr>
          <w:rFonts w:ascii="Arial" w:hAnsi="Arial" w:eastAsia="Arial" w:cs="Arial"/>
          <w:sz w:val="24"/>
          <w:szCs w:val="24"/>
        </w:rPr>
        <w:t xml:space="preserve"> de </w:t>
      </w:r>
      <w:r w:rsidRPr="60EAF375" w:rsidR="4B0A0DAC">
        <w:rPr>
          <w:rFonts w:ascii="Arial" w:hAnsi="Arial" w:eastAsia="Arial" w:cs="Arial"/>
          <w:sz w:val="24"/>
          <w:szCs w:val="24"/>
        </w:rPr>
        <w:t>Londres</w:t>
      </w:r>
      <w:r w:rsidRPr="60EAF375" w:rsidR="0D74801D">
        <w:rPr>
          <w:rFonts w:ascii="Arial" w:hAnsi="Arial" w:eastAsia="Arial" w:cs="Arial"/>
          <w:sz w:val="24"/>
          <w:szCs w:val="24"/>
        </w:rPr>
        <w:t>,</w:t>
      </w:r>
      <w:r w:rsidRPr="60EAF375">
        <w:rPr>
          <w:rFonts w:ascii="Arial" w:hAnsi="Arial" w:eastAsia="Arial" w:cs="Arial"/>
          <w:sz w:val="24"/>
          <w:szCs w:val="24"/>
        </w:rPr>
        <w:t xml:space="preserve"> mostró que más del 80% de los participantes se sintieron escuchados y tratados con respeto, lo que sugiere que muchos recomendarían este proceso a otros. De forma general, los programas restaurativos son más efectivos en delitos de naturaleza personal que en delitos patrimoniales y tienden a ser más eficaces en casos graves</w:t>
      </w:r>
      <w:r w:rsidRPr="60EAF375" w:rsidR="768A6E41">
        <w:rPr>
          <w:rFonts w:ascii="Arial" w:hAnsi="Arial" w:eastAsia="Arial" w:cs="Arial"/>
          <w:sz w:val="24"/>
          <w:szCs w:val="24"/>
        </w:rPr>
        <w:t xml:space="preserve"> (</w:t>
      </w:r>
      <w:proofErr w:type="spellStart"/>
      <w:r w:rsidRPr="60EAF375" w:rsidR="768A6E41">
        <w:rPr>
          <w:rFonts w:ascii="Arial" w:hAnsi="Arial" w:eastAsia="Arial" w:cs="Arial"/>
          <w:sz w:val="24"/>
          <w:szCs w:val="24"/>
        </w:rPr>
        <w:t>Sumalla</w:t>
      </w:r>
      <w:proofErr w:type="spellEnd"/>
      <w:r w:rsidRPr="60EAF375" w:rsidR="768A6E41">
        <w:rPr>
          <w:rFonts w:ascii="Arial" w:hAnsi="Arial" w:eastAsia="Arial" w:cs="Arial"/>
          <w:sz w:val="24"/>
          <w:szCs w:val="24"/>
        </w:rPr>
        <w:t>, 2013)</w:t>
      </w:r>
      <w:r w:rsidRPr="60EAF375">
        <w:rPr>
          <w:rFonts w:ascii="Arial" w:hAnsi="Arial" w:eastAsia="Arial" w:cs="Arial"/>
          <w:sz w:val="24"/>
          <w:szCs w:val="24"/>
        </w:rPr>
        <w:t xml:space="preserve">. Además, se ha observado que las tasas de reincidencia son más bajas entre aquellos que participan en procesos restaurativos. </w:t>
      </w:r>
    </w:p>
    <w:p w:rsidR="655D04B6" w:rsidP="206C2CE6" w:rsidRDefault="7347D836" w14:paraId="2DB713FA" w14:textId="38981948">
      <w:pPr>
        <w:spacing w:line="360" w:lineRule="auto"/>
        <w:ind w:firstLine="709"/>
        <w:jc w:val="both"/>
        <w:rPr>
          <w:rFonts w:ascii="Arial" w:hAnsi="Arial" w:eastAsia="Arial" w:cs="Arial"/>
          <w:sz w:val="24"/>
          <w:szCs w:val="24"/>
        </w:rPr>
      </w:pPr>
      <w:r w:rsidRPr="60EAF375">
        <w:rPr>
          <w:rFonts w:ascii="Arial" w:hAnsi="Arial" w:eastAsia="Arial" w:cs="Arial"/>
          <w:sz w:val="24"/>
          <w:szCs w:val="24"/>
        </w:rPr>
        <w:t xml:space="preserve">Los instrumentos que se encontraron en las diferentes investigaciones y que se podría contemplar para implementar de acuerdo con el caso son: </w:t>
      </w:r>
    </w:p>
    <w:p w:rsidR="655D04B6" w:rsidP="206C2CE6" w:rsidRDefault="7347D836" w14:paraId="700F13DF" w14:textId="69525FAC">
      <w:pPr>
        <w:pStyle w:val="ListParagraph"/>
        <w:numPr>
          <w:ilvl w:val="0"/>
          <w:numId w:val="20"/>
        </w:numPr>
        <w:spacing w:line="360" w:lineRule="auto"/>
        <w:jc w:val="both"/>
        <w:rPr>
          <w:rFonts w:ascii="Arial" w:hAnsi="Arial" w:eastAsia="Arial" w:cs="Arial"/>
          <w:sz w:val="24"/>
          <w:szCs w:val="24"/>
        </w:rPr>
      </w:pPr>
      <w:r w:rsidRPr="60EAF375">
        <w:rPr>
          <w:rFonts w:ascii="Arial" w:hAnsi="Arial" w:eastAsia="Arial" w:cs="Arial"/>
          <w:sz w:val="24"/>
          <w:szCs w:val="24"/>
        </w:rPr>
        <w:t xml:space="preserve">Escala de atribución de responsabilidad y minimización versión </w:t>
      </w:r>
      <w:proofErr w:type="spellStart"/>
      <w:r w:rsidRPr="60EAF375">
        <w:rPr>
          <w:rFonts w:ascii="Arial" w:hAnsi="Arial" w:eastAsia="Arial" w:cs="Arial"/>
          <w:sz w:val="24"/>
          <w:szCs w:val="24"/>
        </w:rPr>
        <w:t>refactorizada</w:t>
      </w:r>
      <w:proofErr w:type="spellEnd"/>
      <w:r w:rsidRPr="60EAF375">
        <w:rPr>
          <w:rFonts w:ascii="Arial" w:hAnsi="Arial" w:eastAsia="Arial" w:cs="Arial"/>
          <w:sz w:val="24"/>
          <w:szCs w:val="24"/>
        </w:rPr>
        <w:t xml:space="preserve"> (Lila, Herrero y Gracia, 2008) que trabaja 4 </w:t>
      </w:r>
      <w:proofErr w:type="spellStart"/>
      <w:r w:rsidRPr="60EAF375">
        <w:rPr>
          <w:rFonts w:ascii="Arial" w:hAnsi="Arial" w:eastAsia="Arial" w:cs="Arial"/>
          <w:sz w:val="24"/>
          <w:szCs w:val="24"/>
        </w:rPr>
        <w:t>items</w:t>
      </w:r>
      <w:proofErr w:type="spellEnd"/>
      <w:r w:rsidRPr="60EAF375">
        <w:rPr>
          <w:rFonts w:ascii="Arial" w:hAnsi="Arial" w:eastAsia="Arial" w:cs="Arial"/>
          <w:sz w:val="24"/>
          <w:szCs w:val="24"/>
        </w:rPr>
        <w:t xml:space="preserve"> 1) </w:t>
      </w:r>
      <w:proofErr w:type="spellStart"/>
      <w:r w:rsidRPr="60EAF375">
        <w:rPr>
          <w:rFonts w:ascii="Arial" w:hAnsi="Arial" w:eastAsia="Arial" w:cs="Arial"/>
          <w:i/>
          <w:iCs/>
          <w:sz w:val="24"/>
          <w:szCs w:val="24"/>
        </w:rPr>
        <w:t>Culpabilización</w:t>
      </w:r>
      <w:proofErr w:type="spellEnd"/>
      <w:r w:rsidRPr="60EAF375">
        <w:rPr>
          <w:rFonts w:ascii="Arial" w:hAnsi="Arial" w:eastAsia="Arial" w:cs="Arial"/>
          <w:i/>
          <w:iCs/>
          <w:sz w:val="24"/>
          <w:szCs w:val="24"/>
        </w:rPr>
        <w:t xml:space="preserve"> de la víctima</w:t>
      </w:r>
      <w:r w:rsidRPr="60EAF375">
        <w:rPr>
          <w:rFonts w:ascii="Arial" w:hAnsi="Arial" w:eastAsia="Arial" w:cs="Arial"/>
          <w:sz w:val="24"/>
          <w:szCs w:val="24"/>
        </w:rPr>
        <w:t xml:space="preserve"> que mide el nivel en que el agresor la culpa de su situación, justificándose en motivos de mentiras y/o características de la víctima. 2) </w:t>
      </w:r>
      <w:r w:rsidRPr="60EAF375">
        <w:rPr>
          <w:rFonts w:ascii="Arial" w:hAnsi="Arial" w:eastAsia="Arial" w:cs="Arial"/>
          <w:i/>
          <w:iCs/>
          <w:sz w:val="24"/>
          <w:szCs w:val="24"/>
        </w:rPr>
        <w:t>Defensa propia</w:t>
      </w:r>
      <w:r w:rsidRPr="60EAF375">
        <w:rPr>
          <w:rFonts w:ascii="Arial" w:hAnsi="Arial" w:eastAsia="Arial" w:cs="Arial"/>
          <w:sz w:val="24"/>
          <w:szCs w:val="24"/>
        </w:rPr>
        <w:t xml:space="preserve"> que evalúa el grado en que el agresor justifica su conducta como respuesta a un ataque. 3) </w:t>
      </w:r>
      <w:proofErr w:type="spellStart"/>
      <w:r w:rsidRPr="60EAF375">
        <w:rPr>
          <w:rFonts w:ascii="Arial" w:hAnsi="Arial" w:eastAsia="Arial" w:cs="Arial"/>
          <w:i/>
          <w:iCs/>
          <w:sz w:val="24"/>
          <w:szCs w:val="24"/>
        </w:rPr>
        <w:t>Autoatribución</w:t>
      </w:r>
      <w:proofErr w:type="spellEnd"/>
      <w:r w:rsidRPr="60EAF375">
        <w:rPr>
          <w:rFonts w:ascii="Arial" w:hAnsi="Arial" w:eastAsia="Arial" w:cs="Arial"/>
          <w:i/>
          <w:iCs/>
          <w:sz w:val="24"/>
          <w:szCs w:val="24"/>
        </w:rPr>
        <w:t xml:space="preserve"> de culpa</w:t>
      </w:r>
      <w:r w:rsidRPr="60EAF375">
        <w:rPr>
          <w:rFonts w:ascii="Arial" w:hAnsi="Arial" w:eastAsia="Arial" w:cs="Arial"/>
          <w:sz w:val="24"/>
          <w:szCs w:val="24"/>
        </w:rPr>
        <w:t xml:space="preserve"> mide en que grado el ofensor asegura que la causa de los hechos es propia forma de ser o problemas personales. 4) </w:t>
      </w:r>
      <w:r w:rsidRPr="60EAF375">
        <w:rPr>
          <w:rFonts w:ascii="Arial" w:hAnsi="Arial" w:eastAsia="Arial" w:cs="Arial"/>
          <w:i/>
          <w:iCs/>
          <w:sz w:val="24"/>
          <w:szCs w:val="24"/>
        </w:rPr>
        <w:t xml:space="preserve">Escala de minimización </w:t>
      </w:r>
      <w:r w:rsidRPr="60EAF375">
        <w:rPr>
          <w:rFonts w:ascii="Arial" w:hAnsi="Arial" w:eastAsia="Arial" w:cs="Arial"/>
          <w:sz w:val="24"/>
          <w:szCs w:val="24"/>
        </w:rPr>
        <w:t xml:space="preserve">mide el grado en que el ofensor quita importancia a los hechos violentos. </w:t>
      </w:r>
    </w:p>
    <w:p w:rsidR="655D04B6" w:rsidP="206C2CE6" w:rsidRDefault="7347D836" w14:paraId="484183A1" w14:textId="180CAF0B">
      <w:pPr>
        <w:pStyle w:val="ListParagraph"/>
        <w:numPr>
          <w:ilvl w:val="0"/>
          <w:numId w:val="20"/>
        </w:numPr>
        <w:spacing w:line="360" w:lineRule="auto"/>
        <w:jc w:val="both"/>
        <w:rPr>
          <w:rFonts w:ascii="Arial" w:hAnsi="Arial" w:eastAsia="Arial" w:cs="Arial"/>
          <w:sz w:val="24"/>
          <w:szCs w:val="24"/>
        </w:rPr>
      </w:pPr>
      <w:r w:rsidRPr="60EAF375">
        <w:rPr>
          <w:rFonts w:ascii="Arial" w:hAnsi="Arial" w:eastAsia="Arial" w:cs="Arial"/>
          <w:sz w:val="24"/>
          <w:szCs w:val="24"/>
        </w:rPr>
        <w:t>Inventario de pensamientos distorsionados sobre la mujer y la violencia (</w:t>
      </w:r>
      <w:proofErr w:type="spellStart"/>
      <w:r w:rsidRPr="60EAF375">
        <w:rPr>
          <w:rFonts w:ascii="Arial" w:hAnsi="Arial" w:eastAsia="Arial" w:cs="Arial"/>
          <w:sz w:val="24"/>
          <w:szCs w:val="24"/>
        </w:rPr>
        <w:t>IPDMyV</w:t>
      </w:r>
      <w:proofErr w:type="spellEnd"/>
      <w:r w:rsidRPr="60EAF375">
        <w:rPr>
          <w:rFonts w:ascii="Arial" w:hAnsi="Arial" w:eastAsia="Arial" w:cs="Arial"/>
          <w:sz w:val="24"/>
          <w:szCs w:val="24"/>
        </w:rPr>
        <w:t xml:space="preserve">; </w:t>
      </w:r>
      <w:proofErr w:type="spellStart"/>
      <w:r w:rsidRPr="60EAF375">
        <w:rPr>
          <w:rFonts w:ascii="Arial" w:hAnsi="Arial" w:eastAsia="Arial" w:cs="Arial"/>
          <w:sz w:val="24"/>
          <w:szCs w:val="24"/>
        </w:rPr>
        <w:t>Echeburúa</w:t>
      </w:r>
      <w:proofErr w:type="spellEnd"/>
      <w:r w:rsidRPr="60EAF375">
        <w:rPr>
          <w:rFonts w:ascii="Arial" w:hAnsi="Arial" w:eastAsia="Arial" w:cs="Arial"/>
          <w:sz w:val="24"/>
          <w:szCs w:val="24"/>
        </w:rPr>
        <w:t xml:space="preserve"> y Fernández-Montalvo, 1998): evalúa las distorsiones cognitivas en agresores de pareja.</w:t>
      </w:r>
    </w:p>
    <w:p w:rsidR="655D04B6" w:rsidP="206C2CE6" w:rsidRDefault="7347D836" w14:paraId="453432D4" w14:textId="226ABF26">
      <w:pPr>
        <w:pStyle w:val="ListParagraph"/>
        <w:numPr>
          <w:ilvl w:val="0"/>
          <w:numId w:val="20"/>
        </w:numPr>
        <w:spacing w:after="0" w:line="360" w:lineRule="auto"/>
        <w:jc w:val="both"/>
        <w:rPr>
          <w:rFonts w:ascii="Arial" w:hAnsi="Arial" w:eastAsia="Arial" w:cs="Arial"/>
          <w:sz w:val="24"/>
          <w:szCs w:val="24"/>
        </w:rPr>
      </w:pPr>
      <w:r w:rsidRPr="60EAF375">
        <w:rPr>
          <w:rFonts w:ascii="Arial" w:hAnsi="Arial" w:eastAsia="Arial" w:cs="Arial"/>
          <w:sz w:val="24"/>
          <w:szCs w:val="24"/>
        </w:rPr>
        <w:t>Inventario de sexismo ambivalente (</w:t>
      </w:r>
      <w:proofErr w:type="spellStart"/>
      <w:r w:rsidRPr="60EAF375">
        <w:rPr>
          <w:rFonts w:ascii="Arial" w:hAnsi="Arial" w:eastAsia="Arial" w:cs="Arial"/>
          <w:i/>
          <w:iCs/>
          <w:sz w:val="24"/>
          <w:szCs w:val="24"/>
        </w:rPr>
        <w:t>Ambivalent</w:t>
      </w:r>
      <w:proofErr w:type="spellEnd"/>
      <w:r w:rsidRPr="60EAF375">
        <w:rPr>
          <w:rFonts w:ascii="Arial" w:hAnsi="Arial" w:eastAsia="Arial" w:cs="Arial"/>
          <w:i/>
          <w:iCs/>
          <w:sz w:val="24"/>
          <w:szCs w:val="24"/>
        </w:rPr>
        <w:t xml:space="preserve"> </w:t>
      </w:r>
      <w:proofErr w:type="spellStart"/>
      <w:r w:rsidRPr="60EAF375">
        <w:rPr>
          <w:rFonts w:ascii="Arial" w:hAnsi="Arial" w:eastAsia="Arial" w:cs="Arial"/>
          <w:i/>
          <w:iCs/>
          <w:sz w:val="24"/>
          <w:szCs w:val="24"/>
        </w:rPr>
        <w:t>Sexism</w:t>
      </w:r>
      <w:proofErr w:type="spellEnd"/>
      <w:r w:rsidRPr="60EAF375">
        <w:rPr>
          <w:rFonts w:ascii="Arial" w:hAnsi="Arial" w:eastAsia="Arial" w:cs="Arial"/>
          <w:i/>
          <w:iCs/>
          <w:sz w:val="24"/>
          <w:szCs w:val="24"/>
        </w:rPr>
        <w:t xml:space="preserve"> </w:t>
      </w:r>
      <w:proofErr w:type="spellStart"/>
      <w:r w:rsidRPr="60EAF375">
        <w:rPr>
          <w:rFonts w:ascii="Arial" w:hAnsi="Arial" w:eastAsia="Arial" w:cs="Arial"/>
          <w:i/>
          <w:iCs/>
          <w:sz w:val="24"/>
          <w:szCs w:val="24"/>
        </w:rPr>
        <w:t>Inventory</w:t>
      </w:r>
      <w:proofErr w:type="spellEnd"/>
      <w:r w:rsidRPr="60EAF375">
        <w:rPr>
          <w:rFonts w:ascii="Arial" w:hAnsi="Arial" w:eastAsia="Arial" w:cs="Arial"/>
          <w:sz w:val="24"/>
          <w:szCs w:val="24"/>
        </w:rPr>
        <w:t xml:space="preserve">, ASI; </w:t>
      </w:r>
      <w:proofErr w:type="spellStart"/>
      <w:r w:rsidRPr="60EAF375">
        <w:rPr>
          <w:rFonts w:ascii="Arial" w:hAnsi="Arial" w:eastAsia="Arial" w:cs="Arial"/>
          <w:sz w:val="24"/>
          <w:szCs w:val="24"/>
        </w:rPr>
        <w:t>Glick</w:t>
      </w:r>
      <w:proofErr w:type="spellEnd"/>
      <w:r w:rsidRPr="60EAF375">
        <w:rPr>
          <w:rFonts w:ascii="Arial" w:hAnsi="Arial" w:eastAsia="Arial" w:cs="Arial"/>
          <w:sz w:val="24"/>
          <w:szCs w:val="24"/>
        </w:rPr>
        <w:t xml:space="preserve"> y </w:t>
      </w:r>
      <w:proofErr w:type="spellStart"/>
      <w:r w:rsidRPr="60EAF375">
        <w:rPr>
          <w:rFonts w:ascii="Arial" w:hAnsi="Arial" w:eastAsia="Arial" w:cs="Arial"/>
          <w:sz w:val="24"/>
          <w:szCs w:val="24"/>
        </w:rPr>
        <w:t>Fiske</w:t>
      </w:r>
      <w:proofErr w:type="spellEnd"/>
      <w:r w:rsidRPr="60EAF375">
        <w:rPr>
          <w:rFonts w:ascii="Arial" w:hAnsi="Arial" w:eastAsia="Arial" w:cs="Arial"/>
          <w:sz w:val="24"/>
          <w:szCs w:val="24"/>
        </w:rPr>
        <w:t xml:space="preserve">, 1996), adaptación española de Expósito, Moya y </w:t>
      </w:r>
      <w:proofErr w:type="spellStart"/>
      <w:r w:rsidRPr="60EAF375">
        <w:rPr>
          <w:rFonts w:ascii="Arial" w:hAnsi="Arial" w:eastAsia="Arial" w:cs="Arial"/>
          <w:sz w:val="24"/>
          <w:szCs w:val="24"/>
        </w:rPr>
        <w:t>Glick</w:t>
      </w:r>
      <w:proofErr w:type="spellEnd"/>
      <w:r w:rsidRPr="60EAF375">
        <w:rPr>
          <w:rFonts w:ascii="Arial" w:hAnsi="Arial" w:eastAsia="Arial" w:cs="Arial"/>
          <w:sz w:val="24"/>
          <w:szCs w:val="24"/>
        </w:rPr>
        <w:t xml:space="preserve"> (1998): mide dos formas diferentes de sexismo: 1. El sexismo hostil (SH) es una orientación subjetivamente negativa hacia las mujeres, las define con características de inferioridad con respecto a los hombres y 2. el sexismo benevolente (SB) es una orientación subjetivamente positiva hacia la mujer, asociándola a los roles tradicionales de género, que legitima la desigualdad de género y conserva a la mujer en una posición subordinada, y con características de debilidad.</w:t>
      </w:r>
    </w:p>
    <w:p w:rsidR="655D04B6" w:rsidP="206C2CE6" w:rsidRDefault="7347D836" w14:paraId="5FA88249" w14:textId="1B26257C">
      <w:pPr>
        <w:pStyle w:val="ListParagraph"/>
        <w:numPr>
          <w:ilvl w:val="0"/>
          <w:numId w:val="20"/>
        </w:numPr>
        <w:spacing w:line="360" w:lineRule="auto"/>
        <w:jc w:val="both"/>
        <w:rPr>
          <w:rFonts w:ascii="Arial" w:hAnsi="Arial" w:eastAsia="Arial" w:cs="Arial"/>
          <w:sz w:val="24"/>
          <w:szCs w:val="24"/>
        </w:rPr>
      </w:pPr>
      <w:r w:rsidRPr="60EAF375">
        <w:rPr>
          <w:rFonts w:ascii="Arial" w:hAnsi="Arial" w:eastAsia="Arial" w:cs="Arial"/>
          <w:sz w:val="24"/>
          <w:szCs w:val="24"/>
        </w:rPr>
        <w:t xml:space="preserve">Escala de autoestima de </w:t>
      </w:r>
      <w:proofErr w:type="spellStart"/>
      <w:r w:rsidRPr="60EAF375">
        <w:rPr>
          <w:rFonts w:ascii="Arial" w:hAnsi="Arial" w:eastAsia="Arial" w:cs="Arial"/>
          <w:sz w:val="24"/>
          <w:szCs w:val="24"/>
        </w:rPr>
        <w:t>Rosenberg</w:t>
      </w:r>
      <w:proofErr w:type="spellEnd"/>
      <w:r w:rsidRPr="60EAF375">
        <w:rPr>
          <w:rFonts w:ascii="Arial" w:hAnsi="Arial" w:eastAsia="Arial" w:cs="Arial"/>
          <w:sz w:val="24"/>
          <w:szCs w:val="24"/>
        </w:rPr>
        <w:t xml:space="preserve"> (</w:t>
      </w:r>
      <w:proofErr w:type="spellStart"/>
      <w:r w:rsidRPr="60EAF375">
        <w:rPr>
          <w:rFonts w:ascii="Arial" w:hAnsi="Arial" w:eastAsia="Arial" w:cs="Arial"/>
          <w:i/>
          <w:iCs/>
          <w:sz w:val="24"/>
          <w:szCs w:val="24"/>
        </w:rPr>
        <w:t>Rosenberg</w:t>
      </w:r>
      <w:proofErr w:type="spellEnd"/>
      <w:r w:rsidRPr="60EAF375">
        <w:rPr>
          <w:rFonts w:ascii="Arial" w:hAnsi="Arial" w:eastAsia="Arial" w:cs="Arial"/>
          <w:i/>
          <w:iCs/>
          <w:sz w:val="24"/>
          <w:szCs w:val="24"/>
        </w:rPr>
        <w:t xml:space="preserve"> </w:t>
      </w:r>
      <w:proofErr w:type="spellStart"/>
      <w:r w:rsidRPr="60EAF375">
        <w:rPr>
          <w:rFonts w:ascii="Arial" w:hAnsi="Arial" w:eastAsia="Arial" w:cs="Arial"/>
          <w:i/>
          <w:iCs/>
          <w:sz w:val="24"/>
          <w:szCs w:val="24"/>
        </w:rPr>
        <w:t>Self-Esteem</w:t>
      </w:r>
      <w:proofErr w:type="spellEnd"/>
      <w:r w:rsidRPr="60EAF375">
        <w:rPr>
          <w:rFonts w:ascii="Arial" w:hAnsi="Arial" w:eastAsia="Arial" w:cs="Arial"/>
          <w:i/>
          <w:iCs/>
          <w:sz w:val="24"/>
          <w:szCs w:val="24"/>
        </w:rPr>
        <w:t xml:space="preserve"> </w:t>
      </w:r>
      <w:proofErr w:type="spellStart"/>
      <w:r w:rsidRPr="60EAF375">
        <w:rPr>
          <w:rFonts w:ascii="Arial" w:hAnsi="Arial" w:eastAsia="Arial" w:cs="Arial"/>
          <w:i/>
          <w:iCs/>
          <w:sz w:val="24"/>
          <w:szCs w:val="24"/>
        </w:rPr>
        <w:t>Scale</w:t>
      </w:r>
      <w:proofErr w:type="spellEnd"/>
      <w:r w:rsidRPr="60EAF375">
        <w:rPr>
          <w:rFonts w:ascii="Arial" w:hAnsi="Arial" w:eastAsia="Arial" w:cs="Arial"/>
          <w:i/>
          <w:iCs/>
          <w:sz w:val="24"/>
          <w:szCs w:val="24"/>
        </w:rPr>
        <w:t xml:space="preserve">, </w:t>
      </w:r>
      <w:r w:rsidRPr="60EAF375">
        <w:rPr>
          <w:rFonts w:ascii="Arial" w:hAnsi="Arial" w:eastAsia="Arial" w:cs="Arial"/>
          <w:sz w:val="24"/>
          <w:szCs w:val="24"/>
        </w:rPr>
        <w:t xml:space="preserve">RSE; </w:t>
      </w:r>
      <w:proofErr w:type="spellStart"/>
      <w:r w:rsidRPr="60EAF375">
        <w:rPr>
          <w:rFonts w:ascii="Arial" w:hAnsi="Arial" w:eastAsia="Arial" w:cs="Arial"/>
          <w:sz w:val="24"/>
          <w:szCs w:val="24"/>
        </w:rPr>
        <w:t>Rosenberg</w:t>
      </w:r>
      <w:proofErr w:type="spellEnd"/>
      <w:r w:rsidRPr="60EAF375">
        <w:rPr>
          <w:rFonts w:ascii="Arial" w:hAnsi="Arial" w:eastAsia="Arial" w:cs="Arial"/>
          <w:sz w:val="24"/>
          <w:szCs w:val="24"/>
        </w:rPr>
        <w:t xml:space="preserve">, 1965), adaptación española de Fernández-Montalvo y </w:t>
      </w:r>
      <w:proofErr w:type="spellStart"/>
      <w:r w:rsidRPr="60EAF375">
        <w:rPr>
          <w:rFonts w:ascii="Arial" w:hAnsi="Arial" w:eastAsia="Arial" w:cs="Arial"/>
          <w:sz w:val="24"/>
          <w:szCs w:val="24"/>
        </w:rPr>
        <w:t>Echeburúa</w:t>
      </w:r>
      <w:proofErr w:type="spellEnd"/>
      <w:r w:rsidRPr="60EAF375">
        <w:rPr>
          <w:rFonts w:ascii="Arial" w:hAnsi="Arial" w:eastAsia="Arial" w:cs="Arial"/>
          <w:sz w:val="24"/>
          <w:szCs w:val="24"/>
        </w:rPr>
        <w:t xml:space="preserve"> (1997): evalúa el sentimiento de satisfacción que una persona tiene consigo misma.</w:t>
      </w:r>
    </w:p>
    <w:p w:rsidR="655D04B6" w:rsidP="206C2CE6" w:rsidRDefault="7347D836" w14:paraId="6BF4BB75" w14:textId="33E59568">
      <w:pPr>
        <w:pStyle w:val="ListParagraph"/>
        <w:numPr>
          <w:ilvl w:val="0"/>
          <w:numId w:val="20"/>
        </w:numPr>
        <w:spacing w:line="360" w:lineRule="auto"/>
        <w:jc w:val="both"/>
        <w:rPr>
          <w:rFonts w:ascii="Arial" w:hAnsi="Arial" w:eastAsia="Arial" w:cs="Arial"/>
          <w:sz w:val="24"/>
          <w:szCs w:val="24"/>
        </w:rPr>
      </w:pPr>
      <w:r w:rsidRPr="60EAF375">
        <w:rPr>
          <w:rFonts w:ascii="Arial" w:hAnsi="Arial" w:eastAsia="Arial" w:cs="Arial"/>
          <w:sz w:val="24"/>
          <w:szCs w:val="24"/>
        </w:rPr>
        <w:t xml:space="preserve">Cuestionario de apoyo social funcional </w:t>
      </w:r>
      <w:proofErr w:type="spellStart"/>
      <w:r w:rsidRPr="60EAF375">
        <w:rPr>
          <w:rFonts w:ascii="Arial" w:hAnsi="Arial" w:eastAsia="Arial" w:cs="Arial"/>
          <w:i/>
          <w:iCs/>
          <w:sz w:val="24"/>
          <w:szCs w:val="24"/>
        </w:rPr>
        <w:t>Functional</w:t>
      </w:r>
      <w:proofErr w:type="spellEnd"/>
      <w:r w:rsidRPr="60EAF375">
        <w:rPr>
          <w:rFonts w:ascii="Arial" w:hAnsi="Arial" w:eastAsia="Arial" w:cs="Arial"/>
          <w:i/>
          <w:iCs/>
          <w:sz w:val="24"/>
          <w:szCs w:val="24"/>
        </w:rPr>
        <w:t xml:space="preserve"> Social </w:t>
      </w:r>
      <w:proofErr w:type="spellStart"/>
      <w:r w:rsidRPr="60EAF375">
        <w:rPr>
          <w:rFonts w:ascii="Arial" w:hAnsi="Arial" w:eastAsia="Arial" w:cs="Arial"/>
          <w:i/>
          <w:iCs/>
          <w:sz w:val="24"/>
          <w:szCs w:val="24"/>
        </w:rPr>
        <w:t>Support</w:t>
      </w:r>
      <w:proofErr w:type="spellEnd"/>
      <w:r w:rsidRPr="60EAF375">
        <w:rPr>
          <w:rFonts w:ascii="Arial" w:hAnsi="Arial" w:eastAsia="Arial" w:cs="Arial"/>
          <w:i/>
          <w:iCs/>
          <w:sz w:val="24"/>
          <w:szCs w:val="24"/>
        </w:rPr>
        <w:t xml:space="preserve"> </w:t>
      </w:r>
      <w:proofErr w:type="spellStart"/>
      <w:r w:rsidRPr="60EAF375">
        <w:rPr>
          <w:rFonts w:ascii="Arial" w:hAnsi="Arial" w:eastAsia="Arial" w:cs="Arial"/>
          <w:i/>
          <w:iCs/>
          <w:sz w:val="24"/>
          <w:szCs w:val="24"/>
        </w:rPr>
        <w:t>Questionnaire</w:t>
      </w:r>
      <w:proofErr w:type="spellEnd"/>
      <w:r w:rsidRPr="60EAF375">
        <w:rPr>
          <w:rFonts w:ascii="Arial" w:hAnsi="Arial" w:eastAsia="Arial" w:cs="Arial"/>
          <w:sz w:val="24"/>
          <w:szCs w:val="24"/>
        </w:rPr>
        <w:t xml:space="preserve">, FSSQ; </w:t>
      </w:r>
      <w:proofErr w:type="spellStart"/>
      <w:r w:rsidRPr="60EAF375">
        <w:rPr>
          <w:rFonts w:ascii="Arial" w:hAnsi="Arial" w:eastAsia="Arial" w:cs="Arial"/>
          <w:sz w:val="24"/>
          <w:szCs w:val="24"/>
        </w:rPr>
        <w:t>Broadhead</w:t>
      </w:r>
      <w:proofErr w:type="spellEnd"/>
      <w:r w:rsidRPr="60EAF375">
        <w:rPr>
          <w:rFonts w:ascii="Arial" w:hAnsi="Arial" w:eastAsia="Arial" w:cs="Arial"/>
          <w:sz w:val="24"/>
          <w:szCs w:val="24"/>
        </w:rPr>
        <w:t xml:space="preserve">, </w:t>
      </w:r>
      <w:proofErr w:type="spellStart"/>
      <w:r w:rsidRPr="60EAF375">
        <w:rPr>
          <w:rFonts w:ascii="Arial" w:hAnsi="Arial" w:eastAsia="Arial" w:cs="Arial"/>
          <w:sz w:val="24"/>
          <w:szCs w:val="24"/>
        </w:rPr>
        <w:t>Gehlbach</w:t>
      </w:r>
      <w:proofErr w:type="spellEnd"/>
      <w:r w:rsidRPr="60EAF375">
        <w:rPr>
          <w:rFonts w:ascii="Arial" w:hAnsi="Arial" w:eastAsia="Arial" w:cs="Arial"/>
          <w:sz w:val="24"/>
          <w:szCs w:val="24"/>
        </w:rPr>
        <w:t xml:space="preserve">, </w:t>
      </w:r>
      <w:proofErr w:type="spellStart"/>
      <w:r w:rsidRPr="60EAF375">
        <w:rPr>
          <w:rFonts w:ascii="Arial" w:hAnsi="Arial" w:eastAsia="Arial" w:cs="Arial"/>
          <w:sz w:val="24"/>
          <w:szCs w:val="24"/>
        </w:rPr>
        <w:t>Degruy</w:t>
      </w:r>
      <w:proofErr w:type="spellEnd"/>
      <w:r w:rsidRPr="60EAF375">
        <w:rPr>
          <w:rFonts w:ascii="Arial" w:hAnsi="Arial" w:eastAsia="Arial" w:cs="Arial"/>
          <w:sz w:val="24"/>
          <w:szCs w:val="24"/>
        </w:rPr>
        <w:t xml:space="preserve"> y Kaplan, 1988), adaptado a población española por </w:t>
      </w:r>
      <w:proofErr w:type="spellStart"/>
      <w:r w:rsidRPr="60EAF375">
        <w:rPr>
          <w:rFonts w:ascii="Arial" w:hAnsi="Arial" w:eastAsia="Arial" w:cs="Arial"/>
          <w:sz w:val="24"/>
          <w:szCs w:val="24"/>
        </w:rPr>
        <w:t>Bellón</w:t>
      </w:r>
      <w:proofErr w:type="spellEnd"/>
      <w:r w:rsidRPr="60EAF375">
        <w:rPr>
          <w:rFonts w:ascii="Arial" w:hAnsi="Arial" w:eastAsia="Arial" w:cs="Arial"/>
          <w:sz w:val="24"/>
          <w:szCs w:val="24"/>
        </w:rPr>
        <w:t xml:space="preserve">, Delgado, Luna y </w:t>
      </w:r>
      <w:proofErr w:type="spellStart"/>
      <w:r w:rsidRPr="60EAF375">
        <w:rPr>
          <w:rFonts w:ascii="Arial" w:hAnsi="Arial" w:eastAsia="Arial" w:cs="Arial"/>
          <w:sz w:val="24"/>
          <w:szCs w:val="24"/>
        </w:rPr>
        <w:t>Lardelli</w:t>
      </w:r>
      <w:proofErr w:type="spellEnd"/>
      <w:r w:rsidRPr="60EAF375">
        <w:rPr>
          <w:rFonts w:ascii="Arial" w:hAnsi="Arial" w:eastAsia="Arial" w:cs="Arial"/>
          <w:sz w:val="24"/>
          <w:szCs w:val="24"/>
        </w:rPr>
        <w:t xml:space="preserve"> (1996): Mide el apoyo social percibido en las relaciones íntimas y de confianza del agresor. </w:t>
      </w:r>
    </w:p>
    <w:p w:rsidR="655D04B6" w:rsidP="206C2CE6" w:rsidRDefault="7347D836" w14:paraId="3187991E" w14:textId="46FCDF7F">
      <w:pPr>
        <w:pStyle w:val="ListParagraph"/>
        <w:numPr>
          <w:ilvl w:val="0"/>
          <w:numId w:val="20"/>
        </w:numPr>
        <w:spacing w:line="360" w:lineRule="auto"/>
        <w:jc w:val="both"/>
        <w:rPr>
          <w:rFonts w:ascii="Arial" w:hAnsi="Arial" w:eastAsia="Arial" w:cs="Arial"/>
          <w:sz w:val="24"/>
          <w:szCs w:val="24"/>
        </w:rPr>
      </w:pPr>
      <w:r w:rsidRPr="60EAF375">
        <w:rPr>
          <w:rFonts w:ascii="Arial" w:hAnsi="Arial" w:eastAsia="Arial" w:cs="Arial"/>
          <w:sz w:val="24"/>
          <w:szCs w:val="24"/>
        </w:rPr>
        <w:t>Escala de deseabilidad social (</w:t>
      </w:r>
      <w:r w:rsidRPr="60EAF375">
        <w:rPr>
          <w:rFonts w:ascii="Arial" w:hAnsi="Arial" w:eastAsia="Arial" w:cs="Arial"/>
          <w:i/>
          <w:iCs/>
          <w:sz w:val="24"/>
          <w:szCs w:val="24"/>
        </w:rPr>
        <w:t xml:space="preserve">Social </w:t>
      </w:r>
      <w:proofErr w:type="spellStart"/>
      <w:r w:rsidRPr="60EAF375">
        <w:rPr>
          <w:rFonts w:ascii="Arial" w:hAnsi="Arial" w:eastAsia="Arial" w:cs="Arial"/>
          <w:i/>
          <w:iCs/>
          <w:sz w:val="24"/>
          <w:szCs w:val="24"/>
        </w:rPr>
        <w:t>Desirability</w:t>
      </w:r>
      <w:proofErr w:type="spellEnd"/>
      <w:r w:rsidRPr="60EAF375">
        <w:rPr>
          <w:rFonts w:ascii="Arial" w:hAnsi="Arial" w:eastAsia="Arial" w:cs="Arial"/>
          <w:i/>
          <w:iCs/>
          <w:sz w:val="24"/>
          <w:szCs w:val="24"/>
        </w:rPr>
        <w:t xml:space="preserve"> </w:t>
      </w:r>
      <w:proofErr w:type="spellStart"/>
      <w:r w:rsidRPr="60EAF375">
        <w:rPr>
          <w:rFonts w:ascii="Arial" w:hAnsi="Arial" w:eastAsia="Arial" w:cs="Arial"/>
          <w:i/>
          <w:iCs/>
          <w:sz w:val="24"/>
          <w:szCs w:val="24"/>
        </w:rPr>
        <w:t>Scale</w:t>
      </w:r>
      <w:proofErr w:type="spellEnd"/>
      <w:r w:rsidRPr="60EAF375">
        <w:rPr>
          <w:rFonts w:ascii="Arial" w:hAnsi="Arial" w:eastAsia="Arial" w:cs="Arial"/>
          <w:i/>
          <w:iCs/>
          <w:sz w:val="24"/>
          <w:szCs w:val="24"/>
        </w:rPr>
        <w:t xml:space="preserve">, </w:t>
      </w:r>
      <w:r w:rsidRPr="60EAF375">
        <w:rPr>
          <w:rFonts w:ascii="Arial" w:hAnsi="Arial" w:eastAsia="Arial" w:cs="Arial"/>
          <w:sz w:val="24"/>
          <w:szCs w:val="24"/>
        </w:rPr>
        <w:t xml:space="preserve">SDS; </w:t>
      </w:r>
      <w:proofErr w:type="spellStart"/>
      <w:r w:rsidRPr="60EAF375">
        <w:rPr>
          <w:rFonts w:ascii="Arial" w:hAnsi="Arial" w:eastAsia="Arial" w:cs="Arial"/>
          <w:sz w:val="24"/>
          <w:szCs w:val="24"/>
        </w:rPr>
        <w:t>Crowne</w:t>
      </w:r>
      <w:proofErr w:type="spellEnd"/>
      <w:r w:rsidRPr="60EAF375">
        <w:rPr>
          <w:rFonts w:ascii="Arial" w:hAnsi="Arial" w:eastAsia="Arial" w:cs="Arial"/>
          <w:sz w:val="24"/>
          <w:szCs w:val="24"/>
        </w:rPr>
        <w:t xml:space="preserve"> y </w:t>
      </w:r>
      <w:proofErr w:type="spellStart"/>
      <w:r w:rsidRPr="60EAF375">
        <w:rPr>
          <w:rFonts w:ascii="Arial" w:hAnsi="Arial" w:eastAsia="Arial" w:cs="Arial"/>
          <w:sz w:val="24"/>
          <w:szCs w:val="24"/>
        </w:rPr>
        <w:t>Marlowe</w:t>
      </w:r>
      <w:proofErr w:type="spellEnd"/>
      <w:r w:rsidRPr="60EAF375">
        <w:rPr>
          <w:rFonts w:ascii="Arial" w:hAnsi="Arial" w:eastAsia="Arial" w:cs="Arial"/>
          <w:sz w:val="24"/>
          <w:szCs w:val="24"/>
        </w:rPr>
        <w:t>, 2000): evalúa la tendencia a responder de una forma socialmente deseable, lo que puede llevar a las personas a mostrar una imagen distorsionada.</w:t>
      </w:r>
    </w:p>
    <w:p w:rsidR="655D04B6" w:rsidP="206C2CE6" w:rsidRDefault="7347D836" w14:paraId="6F875953" w14:textId="7C0BEE98">
      <w:pPr>
        <w:pStyle w:val="ListParagraph"/>
        <w:numPr>
          <w:ilvl w:val="0"/>
          <w:numId w:val="20"/>
        </w:numPr>
        <w:spacing w:line="360" w:lineRule="auto"/>
        <w:jc w:val="both"/>
        <w:rPr>
          <w:rFonts w:ascii="Arial" w:hAnsi="Arial" w:eastAsia="Arial" w:cs="Arial"/>
          <w:sz w:val="24"/>
          <w:szCs w:val="24"/>
        </w:rPr>
      </w:pPr>
      <w:r w:rsidRPr="60EAF375">
        <w:rPr>
          <w:rFonts w:ascii="Arial" w:hAnsi="Arial" w:eastAsia="Arial" w:cs="Arial"/>
          <w:sz w:val="24"/>
          <w:szCs w:val="24"/>
        </w:rPr>
        <w:t>El Inventario de Pensamientos Distorsionados sobre el Uso de la Violencia (</w:t>
      </w:r>
      <w:proofErr w:type="spellStart"/>
      <w:r w:rsidRPr="60EAF375">
        <w:rPr>
          <w:rFonts w:ascii="Arial" w:hAnsi="Arial" w:eastAsia="Arial" w:cs="Arial"/>
          <w:sz w:val="24"/>
          <w:szCs w:val="24"/>
        </w:rPr>
        <w:t>Echeburúa</w:t>
      </w:r>
      <w:proofErr w:type="spellEnd"/>
      <w:r w:rsidRPr="60EAF375">
        <w:rPr>
          <w:rFonts w:ascii="Arial" w:hAnsi="Arial" w:eastAsia="Arial" w:cs="Arial"/>
          <w:sz w:val="24"/>
          <w:szCs w:val="24"/>
        </w:rPr>
        <w:t xml:space="preserve"> y Fernández-Montalvo, 1998) identifica los pensamientos irracionales del agresor que justifican la violencia como una forma adecuada de resolver problemas.</w:t>
      </w:r>
    </w:p>
    <w:p w:rsidR="655D04B6" w:rsidP="206C2CE6" w:rsidRDefault="7347D836" w14:paraId="7EE89103" w14:textId="123BE8AC">
      <w:pPr>
        <w:pStyle w:val="ListParagraph"/>
        <w:numPr>
          <w:ilvl w:val="0"/>
          <w:numId w:val="20"/>
        </w:numPr>
        <w:spacing w:line="360" w:lineRule="auto"/>
        <w:jc w:val="both"/>
        <w:rPr>
          <w:rFonts w:ascii="Arial" w:hAnsi="Arial" w:eastAsia="Arial" w:cs="Arial"/>
          <w:sz w:val="24"/>
          <w:szCs w:val="24"/>
        </w:rPr>
      </w:pPr>
      <w:r w:rsidRPr="60EAF375">
        <w:rPr>
          <w:rFonts w:ascii="Arial" w:hAnsi="Arial" w:eastAsia="Arial" w:cs="Arial"/>
          <w:sz w:val="24"/>
          <w:szCs w:val="24"/>
        </w:rPr>
        <w:t xml:space="preserve">El Índice de Respuesta Interpersonal (IRI) (Davis, 1980) valora la empatía en 4 subcategorías: 1. </w:t>
      </w:r>
      <w:r w:rsidRPr="60EAF375">
        <w:rPr>
          <w:rFonts w:ascii="Arial" w:hAnsi="Arial" w:eastAsia="Arial" w:cs="Arial"/>
          <w:i/>
          <w:iCs/>
          <w:sz w:val="24"/>
          <w:szCs w:val="24"/>
        </w:rPr>
        <w:t xml:space="preserve">Fantasía </w:t>
      </w:r>
      <w:r w:rsidRPr="60EAF375">
        <w:rPr>
          <w:rFonts w:ascii="Arial" w:hAnsi="Arial" w:eastAsia="Arial" w:cs="Arial"/>
          <w:sz w:val="24"/>
          <w:szCs w:val="24"/>
        </w:rPr>
        <w:t xml:space="preserve">(capacidad de imaginación y de identificación con personajes ficticios), 2. </w:t>
      </w:r>
      <w:r w:rsidRPr="60EAF375">
        <w:rPr>
          <w:rFonts w:ascii="Arial" w:hAnsi="Arial" w:eastAsia="Arial" w:cs="Arial"/>
          <w:i/>
          <w:iCs/>
          <w:sz w:val="24"/>
          <w:szCs w:val="24"/>
        </w:rPr>
        <w:t xml:space="preserve">Toma de Perspectiva </w:t>
      </w:r>
      <w:r w:rsidRPr="60EAF375">
        <w:rPr>
          <w:rFonts w:ascii="Arial" w:hAnsi="Arial" w:eastAsia="Arial" w:cs="Arial"/>
          <w:sz w:val="24"/>
          <w:szCs w:val="24"/>
        </w:rPr>
        <w:t xml:space="preserve">(capacidad para apreciar el punto de vista de los demás), 3. </w:t>
      </w:r>
      <w:r w:rsidRPr="60EAF375">
        <w:rPr>
          <w:rFonts w:ascii="Arial" w:hAnsi="Arial" w:eastAsia="Arial" w:cs="Arial"/>
          <w:i/>
          <w:iCs/>
          <w:sz w:val="24"/>
          <w:szCs w:val="24"/>
        </w:rPr>
        <w:t xml:space="preserve">Interés Empático </w:t>
      </w:r>
      <w:r w:rsidRPr="60EAF375">
        <w:rPr>
          <w:rFonts w:ascii="Arial" w:hAnsi="Arial" w:eastAsia="Arial" w:cs="Arial"/>
          <w:sz w:val="24"/>
          <w:szCs w:val="24"/>
        </w:rPr>
        <w:t xml:space="preserve">(capacidad para mostrar preocupación por las personas que tienen experiencias negativas) y 4. </w:t>
      </w:r>
      <w:r w:rsidRPr="60EAF375">
        <w:rPr>
          <w:rFonts w:ascii="Arial" w:hAnsi="Arial" w:eastAsia="Arial" w:cs="Arial"/>
          <w:i/>
          <w:iCs/>
          <w:sz w:val="24"/>
          <w:szCs w:val="24"/>
        </w:rPr>
        <w:t xml:space="preserve">Aflicción Personal </w:t>
      </w:r>
      <w:r w:rsidRPr="60EAF375">
        <w:rPr>
          <w:rFonts w:ascii="Arial" w:hAnsi="Arial" w:eastAsia="Arial" w:cs="Arial"/>
          <w:sz w:val="24"/>
          <w:szCs w:val="24"/>
        </w:rPr>
        <w:t>(capacidad para sentir como propias las emociones negativas de los demás).</w:t>
      </w:r>
    </w:p>
    <w:p w:rsidR="655D04B6" w:rsidP="206C2CE6" w:rsidRDefault="7347D836" w14:paraId="6C58E7F5" w14:textId="3F1C91F4">
      <w:pPr>
        <w:pStyle w:val="ListParagraph"/>
        <w:numPr>
          <w:ilvl w:val="0"/>
          <w:numId w:val="20"/>
        </w:numPr>
        <w:spacing w:line="360" w:lineRule="auto"/>
        <w:jc w:val="both"/>
        <w:rPr>
          <w:rFonts w:ascii="Arial" w:hAnsi="Arial" w:eastAsia="Arial" w:cs="Arial"/>
          <w:sz w:val="24"/>
          <w:szCs w:val="24"/>
        </w:rPr>
      </w:pPr>
      <w:r w:rsidRPr="60EAF375">
        <w:rPr>
          <w:rFonts w:ascii="Arial" w:hAnsi="Arial" w:eastAsia="Arial" w:cs="Arial"/>
          <w:sz w:val="24"/>
          <w:szCs w:val="24"/>
        </w:rPr>
        <w:t>La Escala de Impulsividad (</w:t>
      </w:r>
      <w:proofErr w:type="spellStart"/>
      <w:r w:rsidRPr="60EAF375">
        <w:rPr>
          <w:rFonts w:ascii="Arial" w:hAnsi="Arial" w:eastAsia="Arial" w:cs="Arial"/>
          <w:i/>
          <w:iCs/>
          <w:sz w:val="24"/>
          <w:szCs w:val="24"/>
        </w:rPr>
        <w:t>Barrat</w:t>
      </w:r>
      <w:proofErr w:type="spellEnd"/>
      <w:r w:rsidRPr="60EAF375">
        <w:rPr>
          <w:rFonts w:ascii="Arial" w:hAnsi="Arial" w:eastAsia="Arial" w:cs="Arial"/>
          <w:i/>
          <w:iCs/>
          <w:sz w:val="24"/>
          <w:szCs w:val="24"/>
        </w:rPr>
        <w:t xml:space="preserve"> </w:t>
      </w:r>
      <w:proofErr w:type="spellStart"/>
      <w:r w:rsidRPr="60EAF375">
        <w:rPr>
          <w:rFonts w:ascii="Arial" w:hAnsi="Arial" w:eastAsia="Arial" w:cs="Arial"/>
          <w:i/>
          <w:iCs/>
          <w:sz w:val="24"/>
          <w:szCs w:val="24"/>
        </w:rPr>
        <w:t>Impulsiveness</w:t>
      </w:r>
      <w:proofErr w:type="spellEnd"/>
      <w:r w:rsidRPr="60EAF375">
        <w:rPr>
          <w:rFonts w:ascii="Arial" w:hAnsi="Arial" w:eastAsia="Arial" w:cs="Arial"/>
          <w:i/>
          <w:iCs/>
          <w:sz w:val="24"/>
          <w:szCs w:val="24"/>
        </w:rPr>
        <w:t xml:space="preserve"> Scale-10; BIS-10</w:t>
      </w:r>
      <w:r w:rsidRPr="60EAF375">
        <w:rPr>
          <w:rFonts w:ascii="Arial" w:hAnsi="Arial" w:eastAsia="Arial" w:cs="Arial"/>
          <w:sz w:val="24"/>
          <w:szCs w:val="24"/>
        </w:rPr>
        <w:t>) (</w:t>
      </w:r>
      <w:proofErr w:type="spellStart"/>
      <w:r w:rsidRPr="60EAF375">
        <w:rPr>
          <w:rFonts w:ascii="Arial" w:hAnsi="Arial" w:eastAsia="Arial" w:cs="Arial"/>
          <w:sz w:val="24"/>
          <w:szCs w:val="24"/>
        </w:rPr>
        <w:t>Barratt</w:t>
      </w:r>
      <w:proofErr w:type="spellEnd"/>
      <w:r w:rsidRPr="60EAF375">
        <w:rPr>
          <w:rFonts w:ascii="Arial" w:hAnsi="Arial" w:eastAsia="Arial" w:cs="Arial"/>
          <w:sz w:val="24"/>
          <w:szCs w:val="24"/>
        </w:rPr>
        <w:t>, 1985; versión española de Luengo, Carrillo de la Peña y Otero, 1991): evalúa el grado de impulsividad de los sujetos.</w:t>
      </w:r>
    </w:p>
    <w:p w:rsidR="72E64C15" w:rsidP="72E64C15" w:rsidRDefault="72E64C15" w14:paraId="2EF9B9D0" w14:textId="3185702E">
      <w:pPr>
        <w:pStyle w:val="ListParagraph"/>
        <w:spacing w:line="360" w:lineRule="auto"/>
        <w:jc w:val="both"/>
        <w:rPr>
          <w:rFonts w:ascii="Arial" w:hAnsi="Arial" w:eastAsia="Arial" w:cs="Arial"/>
          <w:sz w:val="24"/>
          <w:szCs w:val="24"/>
        </w:rPr>
      </w:pPr>
    </w:p>
    <w:p w:rsidR="1A033D47" w:rsidP="72E64C15" w:rsidRDefault="1A033D47" w14:paraId="6D02CE5C" w14:textId="5CD3FBEB">
      <w:pPr>
        <w:spacing w:line="360" w:lineRule="auto"/>
        <w:ind w:firstLine="709"/>
        <w:jc w:val="both"/>
        <w:rPr>
          <w:rFonts w:ascii="Arial" w:hAnsi="Arial" w:eastAsia="Arial" w:cs="Arial"/>
          <w:sz w:val="24"/>
          <w:szCs w:val="24"/>
        </w:rPr>
      </w:pPr>
      <w:r w:rsidRPr="60EAF375">
        <w:rPr>
          <w:rFonts w:ascii="Arial" w:hAnsi="Arial" w:eastAsia="Arial" w:cs="Arial"/>
          <w:b/>
          <w:bCs/>
          <w:sz w:val="24"/>
          <w:szCs w:val="24"/>
        </w:rPr>
        <w:t xml:space="preserve">Justificación </w:t>
      </w:r>
      <w:r>
        <w:br/>
      </w:r>
      <w:r>
        <w:tab/>
      </w:r>
      <w:r w:rsidRPr="60EAF375" w:rsidR="6E0167B9">
        <w:rPr>
          <w:rFonts w:ascii="Arial" w:hAnsi="Arial" w:eastAsia="Arial" w:cs="Arial"/>
          <w:sz w:val="24"/>
          <w:szCs w:val="24"/>
        </w:rPr>
        <w:t>Las diversas evaluaciones de los programas de intervención en casos de violencia intrafamiliar (VIF) han revelado hallazgos significativos. Entre ellos, se destaca que ni la privación de libertad sin tratamiento especializado ni los tratamientos psicológicos por sí solos eliminan la VIF. Por esta razón, se recomienda trabajar en el contexto carcelario mediante actividades e intervenciones que mitiguen percepciones distorsionadas</w:t>
      </w:r>
      <w:r w:rsidRPr="60EAF375" w:rsidR="1013EE1C">
        <w:rPr>
          <w:rFonts w:ascii="Arial" w:hAnsi="Arial" w:eastAsia="Arial" w:cs="Arial"/>
          <w:sz w:val="24"/>
          <w:szCs w:val="24"/>
        </w:rPr>
        <w:t xml:space="preserve"> y</w:t>
      </w:r>
      <w:r w:rsidRPr="60EAF375" w:rsidR="6E0167B9">
        <w:rPr>
          <w:rFonts w:ascii="Arial" w:hAnsi="Arial" w:eastAsia="Arial" w:cs="Arial"/>
          <w:sz w:val="24"/>
          <w:szCs w:val="24"/>
        </w:rPr>
        <w:t xml:space="preserve"> </w:t>
      </w:r>
      <w:r w:rsidRPr="60EAF375" w:rsidR="0879F78B">
        <w:rPr>
          <w:rFonts w:ascii="Arial" w:hAnsi="Arial" w:eastAsia="Arial" w:cs="Arial"/>
          <w:sz w:val="24"/>
          <w:szCs w:val="24"/>
        </w:rPr>
        <w:t xml:space="preserve">provean herramientas personales, </w:t>
      </w:r>
      <w:r w:rsidRPr="60EAF375" w:rsidR="6E0167B9">
        <w:rPr>
          <w:rFonts w:ascii="Arial" w:hAnsi="Arial" w:eastAsia="Arial" w:cs="Arial"/>
          <w:sz w:val="24"/>
          <w:szCs w:val="24"/>
        </w:rPr>
        <w:t xml:space="preserve">garantizando al mismo tiempo que se cubran las necesidades básicas. Esto incluye promover la salud mental, fomentar hábitos saludables y llevar a cabo intervenciones </w:t>
      </w:r>
      <w:r w:rsidRPr="60EAF375" w:rsidR="601DE5BE">
        <w:rPr>
          <w:rFonts w:ascii="Arial" w:hAnsi="Arial" w:eastAsia="Arial" w:cs="Arial"/>
          <w:sz w:val="24"/>
          <w:szCs w:val="24"/>
        </w:rPr>
        <w:t xml:space="preserve">individuales, familiares y </w:t>
      </w:r>
      <w:r w:rsidRPr="60EAF375" w:rsidR="6E0167B9">
        <w:rPr>
          <w:rFonts w:ascii="Arial" w:hAnsi="Arial" w:eastAsia="Arial" w:cs="Arial"/>
          <w:sz w:val="24"/>
          <w:szCs w:val="24"/>
        </w:rPr>
        <w:t>grupales</w:t>
      </w:r>
      <w:r w:rsidRPr="60EAF375" w:rsidR="207E6825">
        <w:rPr>
          <w:rFonts w:ascii="Arial" w:hAnsi="Arial" w:eastAsia="Arial" w:cs="Arial"/>
          <w:sz w:val="24"/>
          <w:szCs w:val="24"/>
        </w:rPr>
        <w:t xml:space="preserve"> dentro de lo posible</w:t>
      </w:r>
      <w:r w:rsidRPr="60EAF375" w:rsidR="6E0167B9">
        <w:rPr>
          <w:rFonts w:ascii="Arial" w:hAnsi="Arial" w:eastAsia="Arial" w:cs="Arial"/>
          <w:sz w:val="24"/>
          <w:szCs w:val="24"/>
        </w:rPr>
        <w:t>, entre otros elementos que permitan alcanzar una calidad de vida adecuada. Asimismo, se cita el impacto positivo de las intervenciones grupales en estos casos (</w:t>
      </w:r>
      <w:proofErr w:type="spellStart"/>
      <w:r w:rsidRPr="60EAF375" w:rsidR="6E0167B9">
        <w:rPr>
          <w:rFonts w:ascii="Arial" w:hAnsi="Arial" w:eastAsia="Arial" w:cs="Arial"/>
          <w:sz w:val="24"/>
          <w:szCs w:val="24"/>
        </w:rPr>
        <w:t>Echeburúa</w:t>
      </w:r>
      <w:proofErr w:type="spellEnd"/>
      <w:r w:rsidRPr="60EAF375" w:rsidR="6E0167B9">
        <w:rPr>
          <w:rFonts w:ascii="Arial" w:hAnsi="Arial" w:eastAsia="Arial" w:cs="Arial"/>
          <w:sz w:val="24"/>
          <w:szCs w:val="24"/>
        </w:rPr>
        <w:t xml:space="preserve">, 2014; Landázuri &amp; Terán, 2005, en Ordóñez Espinoza &amp; Álvarez </w:t>
      </w:r>
      <w:proofErr w:type="spellStart"/>
      <w:r w:rsidRPr="60EAF375" w:rsidR="6E0167B9">
        <w:rPr>
          <w:rFonts w:ascii="Arial" w:hAnsi="Arial" w:eastAsia="Arial" w:cs="Arial"/>
          <w:sz w:val="24"/>
          <w:szCs w:val="24"/>
        </w:rPr>
        <w:t>Saquinaula</w:t>
      </w:r>
      <w:proofErr w:type="spellEnd"/>
      <w:r w:rsidRPr="60EAF375" w:rsidR="6E0167B9">
        <w:rPr>
          <w:rFonts w:ascii="Arial" w:hAnsi="Arial" w:eastAsia="Arial" w:cs="Arial"/>
          <w:sz w:val="24"/>
          <w:szCs w:val="24"/>
        </w:rPr>
        <w:t>, 2022).</w:t>
      </w:r>
    </w:p>
    <w:p w:rsidR="6E0167B9" w:rsidP="72E64C15" w:rsidRDefault="6E0167B9" w14:paraId="299CF129" w14:textId="04C199DF">
      <w:pPr>
        <w:spacing w:line="360" w:lineRule="auto"/>
        <w:ind w:firstLine="709"/>
        <w:jc w:val="both"/>
        <w:rPr>
          <w:rFonts w:ascii="Arial" w:hAnsi="Arial" w:eastAsia="Arial" w:cs="Arial"/>
          <w:sz w:val="24"/>
          <w:szCs w:val="24"/>
        </w:rPr>
      </w:pPr>
      <w:r w:rsidRPr="60EAF375">
        <w:rPr>
          <w:rFonts w:ascii="Arial" w:hAnsi="Arial" w:eastAsia="Arial" w:cs="Arial"/>
          <w:sz w:val="24"/>
          <w:szCs w:val="24"/>
        </w:rPr>
        <w:t xml:space="preserve"> En este sentido, es fundamental que los tratamientos dirigidos a los casos de VIF incluyan, en la medida de lo posible, a los ofensores, las víctimas y, en general, a la familia. Las intervenciones deben centrarse en trabajar distorsiones cognitivas, regulación emocional, habilidades sociales y relacionales, así como en la solución de problemas y el control de impulsos e ira. Además, es crucial mejorar los servicios carcelarios y abordar las comorbilidades asociadas a la VIF, como el consumo de alcohol, trastornos neurológicos, enfermedades neurodegenerativas, abuso de sustancias, ansiedad y depresión. También es necesario implementar programas de intervención psicosocial que aborden factores de riesgo en el contexto natural de las personas y las dinámicas familiares, dado que se consideran determinantes para el cambio. Es clave, además, determinar si el agresor tiene acceso a la víctima directa o indirecta, así como a nuevas víctimas (Arce &amp; Fariña, 2010; Ferrer Pérez et al., 2016; Espinoza &amp; Álvarez </w:t>
      </w:r>
      <w:proofErr w:type="spellStart"/>
      <w:r w:rsidRPr="60EAF375">
        <w:rPr>
          <w:rFonts w:ascii="Arial" w:hAnsi="Arial" w:eastAsia="Arial" w:cs="Arial"/>
          <w:sz w:val="24"/>
          <w:szCs w:val="24"/>
        </w:rPr>
        <w:t>Saquinaula</w:t>
      </w:r>
      <w:proofErr w:type="spellEnd"/>
      <w:r w:rsidRPr="60EAF375">
        <w:rPr>
          <w:rFonts w:ascii="Arial" w:hAnsi="Arial" w:eastAsia="Arial" w:cs="Arial"/>
          <w:sz w:val="24"/>
          <w:szCs w:val="24"/>
        </w:rPr>
        <w:t>, 2022).</w:t>
      </w:r>
    </w:p>
    <w:p w:rsidR="6E0167B9" w:rsidP="72E64C15" w:rsidRDefault="6E0167B9" w14:paraId="484547D1" w14:textId="16988A3D">
      <w:pPr>
        <w:spacing w:line="360" w:lineRule="auto"/>
        <w:ind w:firstLine="709"/>
        <w:jc w:val="both"/>
        <w:rPr>
          <w:rFonts w:ascii="Arial" w:hAnsi="Arial" w:eastAsia="Arial" w:cs="Arial"/>
          <w:sz w:val="24"/>
          <w:szCs w:val="24"/>
        </w:rPr>
      </w:pPr>
      <w:r w:rsidRPr="60EAF375">
        <w:rPr>
          <w:rFonts w:ascii="Arial" w:hAnsi="Arial" w:eastAsia="Arial" w:cs="Arial"/>
          <w:sz w:val="24"/>
          <w:szCs w:val="24"/>
        </w:rPr>
        <w:t xml:space="preserve">Para construir un programa efectivo de atención a la VIF, es importante tener en cuenta, como mencionan Arce y Fariña (2010) junto a otros autores, que se deben contemplar aspectos biológicos, </w:t>
      </w:r>
      <w:proofErr w:type="spellStart"/>
      <w:r w:rsidRPr="60EAF375">
        <w:rPr>
          <w:rFonts w:ascii="Arial" w:hAnsi="Arial" w:eastAsia="Arial" w:cs="Arial"/>
          <w:sz w:val="24"/>
          <w:szCs w:val="24"/>
        </w:rPr>
        <w:t>psicoindividuales</w:t>
      </w:r>
      <w:proofErr w:type="spellEnd"/>
      <w:r w:rsidRPr="60EAF375">
        <w:rPr>
          <w:rFonts w:ascii="Arial" w:hAnsi="Arial" w:eastAsia="Arial" w:cs="Arial"/>
          <w:sz w:val="24"/>
          <w:szCs w:val="24"/>
        </w:rPr>
        <w:t xml:space="preserve"> y psicosociales. Según la revisión realizada, se pueden desarrollar programas que aborden diferentes perfiles de agresores, ya que esto influirá en la duración y en los elementos a trabajar. Los tratamientos que obtuvieron resultados positivos y que contenían entre 20 y 26 sesiones, incluyendo espacios individuales y grupales, también realizaban evaluaciones trimestrales de progresos y retrocesos, garantizando una evaluación de riesgo continua y permanente. Finalmente, los temas propuestos para la intervención en las diversas investigaciones incluyen la motivación al cambio y a la adherencia, la modificación de pensamientos distorsionados, el fortalecimiento de la autoestima, la regulación emocional, el control de la ira, la empatía, las habilidades de comunicación, la solución de problemas y la identificación de situaciones de riesgo, así como el desarrollo de habilidades de afrontamiento adecuadas.</w:t>
      </w:r>
    </w:p>
    <w:p w:rsidR="6E0167B9" w:rsidP="72E64C15" w:rsidRDefault="6E0167B9" w14:paraId="5EA37120" w14:textId="5A5E496B">
      <w:pPr>
        <w:spacing w:line="360" w:lineRule="auto"/>
        <w:ind w:firstLine="709"/>
        <w:jc w:val="both"/>
        <w:rPr>
          <w:rFonts w:ascii="Arial" w:hAnsi="Arial" w:eastAsia="Arial" w:cs="Arial"/>
          <w:sz w:val="24"/>
          <w:szCs w:val="24"/>
        </w:rPr>
      </w:pPr>
      <w:r w:rsidRPr="60EAF375">
        <w:rPr>
          <w:rFonts w:ascii="Arial" w:hAnsi="Arial" w:eastAsia="Arial" w:cs="Arial"/>
          <w:sz w:val="24"/>
          <w:szCs w:val="24"/>
        </w:rPr>
        <w:t xml:space="preserve">La violencia intrafamiliar (VIF) constituye un problema social urgente que se ha intensificado en los últimos años, afectando gravemente la vida de muchas personas. La evidencia sugiere que trastornos como la celotipia pueden ser precursores de violencia extrema, incluyendo feminicidios, lo que pone de manifiesto la necesidad de intervenir de manera eficaz en estos casos. En este sentido, la implementación de un proyecto de justicia restaurativa se presenta como una alternativa viable para abordar la VIF. Este enfoque no punitivo tiene el potencial de favorecer la reparación del daño causado y la restauración de las relaciones, beneficiando tanto a víctimas como a agresores. Estudios han demostrado que los programas de justicia restaurativa pueden ser efectivos en la disminución de la reincidencia y en el fortalecimiento de la percepción de justicia entre las partes involucradas. </w:t>
      </w:r>
    </w:p>
    <w:p w:rsidR="6E0167B9" w:rsidP="72E64C15" w:rsidRDefault="6E0167B9" w14:paraId="3F8950CF" w14:textId="0CB0FF7D">
      <w:pPr>
        <w:spacing w:line="360" w:lineRule="auto"/>
        <w:ind w:firstLine="709"/>
        <w:jc w:val="both"/>
        <w:rPr>
          <w:rFonts w:ascii="Arial" w:hAnsi="Arial" w:eastAsia="Arial" w:cs="Arial"/>
          <w:sz w:val="24"/>
          <w:szCs w:val="24"/>
        </w:rPr>
      </w:pPr>
      <w:r w:rsidRPr="60EAF375">
        <w:rPr>
          <w:rFonts w:ascii="Arial" w:hAnsi="Arial" w:eastAsia="Arial" w:cs="Arial"/>
          <w:sz w:val="24"/>
          <w:szCs w:val="24"/>
        </w:rPr>
        <w:t xml:space="preserve">La justicia restaurativa se complementa adecuadamente con enfoques terapéuticos como la Terapia Cognitivo Conductual (TCC), que ha demostrado eficacia en el tratamiento de conductas violentas. Sin embargo, es esencial que estas intervenciones vayan acompañadas de un marco que regule las emociones y mejore las condiciones en los centros penitenciarios. Este enfoque integral es fundamental para asegurar que las intervenciones no solo se limiten a tratar los síntomas de la violencia, sino que aborden las raíces del problema, como las cogniciones tóxicas alimentadas por la cultura patriarcal. Según la literatura, es necesario incluir tanto tratamientos individuales como grupales, proporcionando un seguimiento continuo para evaluar el progreso de los participantes y ajustar los objetivos del tratamiento.  </w:t>
      </w:r>
    </w:p>
    <w:p w:rsidR="6E0167B9" w:rsidP="72E64C15" w:rsidRDefault="6E0167B9" w14:paraId="20B8B962" w14:textId="3EE28C73">
      <w:pPr>
        <w:spacing w:line="360" w:lineRule="auto"/>
        <w:ind w:firstLine="709"/>
        <w:jc w:val="both"/>
        <w:rPr>
          <w:rFonts w:ascii="Arial" w:hAnsi="Arial" w:eastAsia="Arial" w:cs="Arial"/>
          <w:sz w:val="24"/>
          <w:szCs w:val="24"/>
        </w:rPr>
      </w:pPr>
      <w:r w:rsidRPr="60EAF375">
        <w:rPr>
          <w:rFonts w:ascii="Arial" w:hAnsi="Arial" w:eastAsia="Arial" w:cs="Arial"/>
          <w:sz w:val="24"/>
          <w:szCs w:val="24"/>
        </w:rPr>
        <w:t>Los costos sociales y económicos de la VIF son significativos, afectando el bienestar de las víctimas, la economía y el desarrollo educativo de los menores. Por ello, es imperativo abordar estos problemas de forma multidimensional, incorporando la educación y la promoción de la igualdad de género como componentes centrales de la intervención. Por último, el contexto actual en Colombia, con un aumento de denuncias de VIF, indica la urgencia de implementar soluciones efectivas que no solo aborden las consecuencias de la violencia, sino que trabajen hacia la prevención y la transformación de las dinámicas de poder en el hogar. La justicia restaurativa se configura como una estrategia prometedora para enfrentar este desafío y contribuir a la construcción de relaciones familiares más sanas y equitativas.</w:t>
      </w:r>
    </w:p>
    <w:p w:rsidR="72E64C15" w:rsidP="72E64C15" w:rsidRDefault="72E64C15" w14:paraId="27F3D438" w14:textId="2712FC90">
      <w:pPr>
        <w:spacing w:line="360" w:lineRule="auto"/>
        <w:ind w:firstLine="709"/>
        <w:jc w:val="both"/>
        <w:rPr>
          <w:rFonts w:ascii="Arial" w:hAnsi="Arial" w:eastAsia="Arial" w:cs="Arial"/>
          <w:sz w:val="24"/>
          <w:szCs w:val="24"/>
        </w:rPr>
      </w:pPr>
    </w:p>
    <w:p w:rsidR="068E83B4" w:rsidP="60EAF375" w:rsidRDefault="068E83B4" w14:paraId="707EBE67" w14:textId="3CF9671C">
      <w:pPr>
        <w:spacing w:line="360" w:lineRule="auto"/>
        <w:ind w:firstLine="708"/>
        <w:jc w:val="both"/>
        <w:rPr>
          <w:rFonts w:ascii="Arial" w:hAnsi="Arial" w:eastAsia="Arial" w:cs="Arial"/>
          <w:color w:val="000000" w:themeColor="text1"/>
          <w:sz w:val="24"/>
          <w:szCs w:val="24"/>
        </w:rPr>
      </w:pPr>
      <w:r w:rsidRPr="60EAF375">
        <w:rPr>
          <w:rFonts w:ascii="Arial" w:hAnsi="Arial" w:eastAsia="Arial" w:cs="Arial"/>
          <w:b/>
          <w:bCs/>
          <w:sz w:val="24"/>
          <w:szCs w:val="24"/>
        </w:rPr>
        <w:t>Equipo</w:t>
      </w:r>
      <w:r>
        <w:br/>
      </w:r>
      <w:r w:rsidRPr="60EAF375" w:rsidR="5DF22209">
        <w:rPr>
          <w:rFonts w:ascii="Arial" w:hAnsi="Arial" w:eastAsia="Arial" w:cs="Arial"/>
          <w:color w:val="000000" w:themeColor="text1"/>
          <w:sz w:val="24"/>
          <w:szCs w:val="24"/>
        </w:rPr>
        <w:t xml:space="preserve">La violencia intrafamiliar (VIF) es una problemática compleja que no puede abordarse desde una única disciplina, ya que involucra factores emocionales, sociales, culturales y legales que requieren de un análisis y una intervención multifacética. Para lograr transformaciones exitosas, es esencial poner en diálogo diversas disciplinas que permitan comprender la magnitud del problema y atender todos sus aspectos. En este sentido, el </w:t>
      </w:r>
      <w:r w:rsidRPr="60EAF375" w:rsidR="16E1FFFD">
        <w:rPr>
          <w:rFonts w:ascii="Arial" w:hAnsi="Arial" w:eastAsia="Arial" w:cs="Arial"/>
          <w:color w:val="000000" w:themeColor="text1"/>
          <w:sz w:val="24"/>
          <w:szCs w:val="24"/>
        </w:rPr>
        <w:t xml:space="preserve">Programa Distrital de Justicia Restaurativa  </w:t>
      </w:r>
      <w:r w:rsidRPr="60EAF375" w:rsidR="5DF22209">
        <w:rPr>
          <w:rFonts w:ascii="Arial" w:hAnsi="Arial" w:eastAsia="Arial" w:cs="Arial"/>
          <w:color w:val="000000" w:themeColor="text1"/>
          <w:sz w:val="24"/>
          <w:szCs w:val="24"/>
        </w:rPr>
        <w:t xml:space="preserve"> (PDJR) se basa en un enfoque interdisciplinario que combina diferentes metodologías y enfoques, buscando no solo comprender los hechos en su totalidad, sino también ofrecer intervenciones más eficaces. De acuerdo con </w:t>
      </w:r>
      <w:proofErr w:type="spellStart"/>
      <w:r w:rsidRPr="60EAF375" w:rsidR="5DF22209">
        <w:rPr>
          <w:rFonts w:ascii="Arial" w:hAnsi="Arial" w:eastAsia="Arial" w:cs="Arial"/>
          <w:color w:val="000000" w:themeColor="text1"/>
          <w:sz w:val="24"/>
          <w:szCs w:val="24"/>
        </w:rPr>
        <w:t>Agazzi</w:t>
      </w:r>
      <w:proofErr w:type="spellEnd"/>
      <w:r w:rsidRPr="60EAF375" w:rsidR="5DF22209">
        <w:rPr>
          <w:rFonts w:ascii="Arial" w:hAnsi="Arial" w:eastAsia="Arial" w:cs="Arial"/>
          <w:color w:val="000000" w:themeColor="text1"/>
          <w:sz w:val="24"/>
          <w:szCs w:val="24"/>
        </w:rPr>
        <w:t xml:space="preserve"> (2004), la cooperación entre disciplinas no solo amplía el conocimiento y las herramientas de intervención, sino que también reduce la probabilidad de sesgos, asegurando una atención integral y precisa.</w:t>
      </w:r>
    </w:p>
    <w:p w:rsidR="5DF22209" w:rsidP="60EAF375" w:rsidRDefault="5DF22209" w14:paraId="452A17E2" w14:textId="040DD491">
      <w:pPr>
        <w:spacing w:line="360" w:lineRule="auto"/>
        <w:ind w:firstLine="708"/>
        <w:jc w:val="both"/>
        <w:rPr>
          <w:rFonts w:ascii="Arial" w:hAnsi="Arial" w:eastAsia="Arial" w:cs="Arial"/>
          <w:color w:val="000000" w:themeColor="text1"/>
          <w:sz w:val="24"/>
          <w:szCs w:val="24"/>
        </w:rPr>
      </w:pPr>
      <w:r w:rsidRPr="60EAF375">
        <w:rPr>
          <w:rFonts w:ascii="Arial" w:hAnsi="Arial" w:eastAsia="Arial" w:cs="Arial"/>
          <w:color w:val="000000" w:themeColor="text1"/>
          <w:sz w:val="24"/>
          <w:szCs w:val="24"/>
        </w:rPr>
        <w:t>El PDJR también pone énfasis en la planeación de sesiones individuales, familiares y grupales, buscando generar sinergias entre las diferentes herramientas de intervención utilizadas por cada área del equipo. Este enfoque permite maximizar el impacto de cada espacio de intervención, promoviendo la reflexión, la motivación al cambio y el aprendizaje permanente, elementos fundamentales para la transformación de las dinámicas familiares conflictivas. La comunicación permanente entre los miembros del equipo interdisciplinario asegura respuestas oportunas y eficaces ante cualquier novedad o situación imprevista que pueda surgir durante el proceso.</w:t>
      </w:r>
    </w:p>
    <w:p w:rsidR="5DF22209" w:rsidP="60EAF375" w:rsidRDefault="5DF22209" w14:paraId="08E5675D" w14:textId="6FBD1D5D">
      <w:pPr>
        <w:spacing w:line="360" w:lineRule="auto"/>
        <w:ind w:firstLine="708"/>
        <w:jc w:val="both"/>
        <w:rPr>
          <w:rFonts w:ascii="Arial" w:hAnsi="Arial" w:eastAsia="Arial" w:cs="Arial"/>
          <w:color w:val="000000" w:themeColor="text1"/>
          <w:sz w:val="24"/>
          <w:szCs w:val="24"/>
        </w:rPr>
      </w:pPr>
      <w:r w:rsidRPr="60EAF375">
        <w:rPr>
          <w:rFonts w:ascii="Arial" w:hAnsi="Arial" w:eastAsia="Arial" w:cs="Arial"/>
          <w:color w:val="000000" w:themeColor="text1"/>
          <w:sz w:val="24"/>
          <w:szCs w:val="24"/>
        </w:rPr>
        <w:t>El equipo profesional que conforma el PDJR está compuesto por una variedad de especialistas, incluyendo psicólogos, trabajadores sociales, pedagogos y artistas, quienes aportan sus conocimientos y enfoques específicos para atender las necesidades emocionales, sociales y educativas de los adolescentes, las víctimas y sus familias. La colaboración entre estos profesionales es esencial para fomentar un proceso restaurativo que no solo busque la reparación del daño y la reflexión, sino también la reintegración social de los involucrados. Cada uno de los especialistas contribuye con su experiencia para crear un espacio de cooperación y respuesta que permita una intervención más efectiva y transformadora, teniendo siempre en cuenta el contexto cultural, social y emocional de los participantes. Este enfoque integral y cooperativo se presenta como una alternativa para enfrentar la violencia intrafamiliar, brindando un apoyo sólido y adecuado a todos los involucrados en el proceso.</w:t>
      </w:r>
      <w:r w:rsidRPr="60EAF375" w:rsidR="2D30EE40">
        <w:rPr>
          <w:rFonts w:ascii="Arial" w:hAnsi="Arial" w:eastAsia="Arial" w:cs="Arial"/>
          <w:color w:val="000000" w:themeColor="text1"/>
          <w:sz w:val="24"/>
          <w:szCs w:val="24"/>
        </w:rPr>
        <w:t xml:space="preserve"> Cabe recalcar que todos los profesionales cuentan con experiencia en atención a población vulnerable y experiencia en el ciclo vital. </w:t>
      </w:r>
    </w:p>
    <w:p w:rsidR="5DF22209" w:rsidP="60EAF375" w:rsidRDefault="5DF22209" w14:paraId="465C5AFD" w14:textId="58ED9615">
      <w:pPr>
        <w:pStyle w:val="ListParagraph"/>
        <w:numPr>
          <w:ilvl w:val="0"/>
          <w:numId w:val="13"/>
        </w:numPr>
        <w:spacing w:line="360" w:lineRule="auto"/>
        <w:jc w:val="both"/>
        <w:rPr>
          <w:rFonts w:ascii="Arial" w:hAnsi="Arial" w:eastAsia="Arial" w:cs="Arial"/>
          <w:color w:val="000000" w:themeColor="text1"/>
          <w:sz w:val="24"/>
          <w:szCs w:val="24"/>
        </w:rPr>
      </w:pPr>
      <w:r w:rsidRPr="60EAF375">
        <w:rPr>
          <w:rFonts w:ascii="Arial" w:hAnsi="Arial" w:eastAsia="Arial" w:cs="Arial"/>
          <w:b/>
          <w:bCs/>
          <w:color w:val="000000" w:themeColor="text1"/>
          <w:sz w:val="24"/>
          <w:szCs w:val="24"/>
        </w:rPr>
        <w:t xml:space="preserve">Psicología </w:t>
      </w:r>
    </w:p>
    <w:p w:rsidR="5DF22209" w:rsidP="60EAF375" w:rsidRDefault="5DF22209" w14:paraId="0E5F2A30" w14:textId="428A61CA">
      <w:pPr>
        <w:spacing w:line="360" w:lineRule="auto"/>
        <w:ind w:firstLine="708"/>
        <w:jc w:val="both"/>
        <w:rPr>
          <w:rFonts w:ascii="Arial" w:hAnsi="Arial" w:eastAsia="Arial" w:cs="Arial"/>
          <w:color w:val="000000" w:themeColor="text1"/>
          <w:sz w:val="24"/>
          <w:szCs w:val="24"/>
        </w:rPr>
      </w:pPr>
      <w:r w:rsidRPr="60EAF375">
        <w:rPr>
          <w:rFonts w:ascii="Arial" w:hAnsi="Arial" w:eastAsia="Arial" w:cs="Arial"/>
          <w:color w:val="000000" w:themeColor="text1"/>
          <w:sz w:val="24"/>
          <w:szCs w:val="24"/>
        </w:rPr>
        <w:t xml:space="preserve">La psicología de acuerdo con </w:t>
      </w:r>
      <w:proofErr w:type="spellStart"/>
      <w:r w:rsidRPr="60EAF375">
        <w:rPr>
          <w:rFonts w:ascii="Arial" w:hAnsi="Arial" w:eastAsia="Arial" w:cs="Arial"/>
          <w:color w:val="000000" w:themeColor="text1"/>
          <w:sz w:val="24"/>
          <w:szCs w:val="24"/>
        </w:rPr>
        <w:t>Canguilhem</w:t>
      </w:r>
      <w:proofErr w:type="spellEnd"/>
      <w:r w:rsidRPr="60EAF375">
        <w:rPr>
          <w:rFonts w:ascii="Arial" w:hAnsi="Arial" w:eastAsia="Arial" w:cs="Arial"/>
          <w:color w:val="000000" w:themeColor="text1"/>
          <w:sz w:val="24"/>
          <w:szCs w:val="24"/>
        </w:rPr>
        <w:t xml:space="preserve">, (1998) es una disciplina compleja que, a lo largo de su historia, ha buscado definir su identidad y metodología. Su objeto de estudio abarca el comportamiento humano y los procesos mentales, entendidos desde diversas perspectivas como la psicología experimental, clínica, social, y otras. Sin embargo, la psicología se enfrenta a la dificultad de definir con precisión su campo, dado que mezcla enfoques que van desde la filosofía hasta la medicina y la ética. A pesar de sus dificultades de definición, la psicología se establece como una ciencia empírica y teórica que examina la conducta y los procesos mentales, tomando elementos de distintas áreas del conocimiento y generando un enfoque integrador. </w:t>
      </w:r>
    </w:p>
    <w:p w:rsidR="5DF22209" w:rsidP="60EAF375" w:rsidRDefault="5DF22209" w14:paraId="3DAD95DE" w14:textId="75063B7F">
      <w:pPr>
        <w:spacing w:line="360" w:lineRule="auto"/>
        <w:ind w:firstLine="708"/>
        <w:jc w:val="both"/>
        <w:rPr>
          <w:rFonts w:ascii="Arial" w:hAnsi="Arial" w:eastAsia="Arial" w:cs="Arial"/>
          <w:color w:val="000000" w:themeColor="text1"/>
          <w:sz w:val="24"/>
          <w:szCs w:val="24"/>
        </w:rPr>
      </w:pPr>
      <w:r w:rsidRPr="60EAF375">
        <w:rPr>
          <w:rFonts w:ascii="Arial" w:hAnsi="Arial" w:eastAsia="Arial" w:cs="Arial"/>
          <w:color w:val="000000" w:themeColor="text1"/>
          <w:sz w:val="24"/>
          <w:szCs w:val="24"/>
        </w:rPr>
        <w:t xml:space="preserve"> Ahora bien, en el PDJR la relevancia de una o un psicólogo radica en su capacidad para comprender y tratar los aspectos emocionales y conductuales de los adolescentes y sus familias. Las y los psicólogos desempeñan un papel esencial en la evaluación de las necesidades emocionales y conductuales de los jóvenes, ayudando a identificar los factores que pueden haber contribuido a su conducta. A través de la intervención, facilitan procesos de reparación y reintegración, promoviendo la empatía, el </w:t>
      </w:r>
      <w:proofErr w:type="spellStart"/>
      <w:r w:rsidRPr="60EAF375">
        <w:rPr>
          <w:rFonts w:ascii="Arial" w:hAnsi="Arial" w:eastAsia="Arial" w:cs="Arial"/>
          <w:color w:val="000000" w:themeColor="text1"/>
          <w:sz w:val="24"/>
          <w:szCs w:val="24"/>
        </w:rPr>
        <w:t>autorrefuerzo</w:t>
      </w:r>
      <w:proofErr w:type="spellEnd"/>
      <w:r w:rsidRPr="60EAF375">
        <w:rPr>
          <w:rFonts w:ascii="Arial" w:hAnsi="Arial" w:eastAsia="Arial" w:cs="Arial"/>
          <w:color w:val="000000" w:themeColor="text1"/>
          <w:sz w:val="24"/>
          <w:szCs w:val="24"/>
        </w:rPr>
        <w:t xml:space="preserve"> y la autorregulación en los jóvenes. Además, los psicólogos contribuyen a la creación de un ambiente de diálogo y entendimiento que permite que todas las partes involucradas en un proceso restaurativo participen activamente en la resolución de conflictos y en la construcción de la convivencia. Su intervención es clave para que el programa logre sus objetivos, ofreciendo herramientas que fomenten la autorreflexión y el crecimiento personal en el marco de la justicia restaurativa.</w:t>
      </w:r>
    </w:p>
    <w:p w:rsidR="5DF22209" w:rsidP="60EAF375" w:rsidRDefault="5DF22209" w14:paraId="09BB06D1" w14:textId="23E1F9E1">
      <w:pPr>
        <w:pStyle w:val="ListParagraph"/>
        <w:numPr>
          <w:ilvl w:val="0"/>
          <w:numId w:val="13"/>
        </w:numPr>
        <w:spacing w:line="360" w:lineRule="auto"/>
        <w:jc w:val="both"/>
        <w:rPr>
          <w:rFonts w:ascii="Arial" w:hAnsi="Arial" w:eastAsia="Arial" w:cs="Arial"/>
          <w:color w:val="000000" w:themeColor="text1"/>
          <w:sz w:val="24"/>
          <w:szCs w:val="24"/>
        </w:rPr>
      </w:pPr>
      <w:r w:rsidRPr="60EAF375">
        <w:rPr>
          <w:rFonts w:ascii="Arial" w:hAnsi="Arial" w:eastAsia="Arial" w:cs="Arial"/>
          <w:b/>
          <w:bCs/>
          <w:color w:val="000000" w:themeColor="text1"/>
          <w:sz w:val="24"/>
          <w:szCs w:val="24"/>
        </w:rPr>
        <w:t xml:space="preserve">Trabajo social </w:t>
      </w:r>
    </w:p>
    <w:p w:rsidR="5DF22209" w:rsidP="60EAF375" w:rsidRDefault="5DF22209" w14:paraId="56F3A79B" w14:textId="161F06BD">
      <w:pPr>
        <w:spacing w:line="360" w:lineRule="auto"/>
        <w:ind w:firstLine="708"/>
        <w:jc w:val="both"/>
        <w:rPr>
          <w:rFonts w:ascii="Arial" w:hAnsi="Arial" w:eastAsia="Arial" w:cs="Arial"/>
          <w:color w:val="000000" w:themeColor="text1"/>
          <w:sz w:val="24"/>
          <w:szCs w:val="24"/>
        </w:rPr>
      </w:pPr>
      <w:r w:rsidRPr="60EAF375">
        <w:rPr>
          <w:rFonts w:ascii="Arial" w:hAnsi="Arial" w:eastAsia="Arial" w:cs="Arial"/>
          <w:color w:val="000000" w:themeColor="text1"/>
          <w:sz w:val="24"/>
          <w:szCs w:val="24"/>
        </w:rPr>
        <w:t xml:space="preserve">El trabajo social, como profesión, ha evolucionado a lo largo del tiempo y ha alcanzado una </w:t>
      </w:r>
      <w:proofErr w:type="spellStart"/>
      <w:r w:rsidRPr="60EAF375">
        <w:rPr>
          <w:rFonts w:ascii="Arial" w:hAnsi="Arial" w:eastAsia="Arial" w:cs="Arial"/>
          <w:color w:val="000000" w:themeColor="text1"/>
          <w:sz w:val="24"/>
          <w:szCs w:val="24"/>
        </w:rPr>
        <w:t>reconceptualización</w:t>
      </w:r>
      <w:proofErr w:type="spellEnd"/>
      <w:r w:rsidRPr="60EAF375">
        <w:rPr>
          <w:rFonts w:ascii="Arial" w:hAnsi="Arial" w:eastAsia="Arial" w:cs="Arial"/>
          <w:color w:val="000000" w:themeColor="text1"/>
          <w:sz w:val="24"/>
          <w:szCs w:val="24"/>
        </w:rPr>
        <w:t xml:space="preserve"> significativa en América Latina desde 1965, como lo señala Natalio </w:t>
      </w:r>
      <w:proofErr w:type="spellStart"/>
      <w:r w:rsidRPr="60EAF375">
        <w:rPr>
          <w:rFonts w:ascii="Arial" w:hAnsi="Arial" w:eastAsia="Arial" w:cs="Arial"/>
          <w:color w:val="000000" w:themeColor="text1"/>
          <w:sz w:val="24"/>
          <w:szCs w:val="24"/>
        </w:rPr>
        <w:t>Kisnerman</w:t>
      </w:r>
      <w:proofErr w:type="spellEnd"/>
      <w:r w:rsidRPr="60EAF375">
        <w:rPr>
          <w:rFonts w:ascii="Arial" w:hAnsi="Arial" w:eastAsia="Arial" w:cs="Arial"/>
          <w:color w:val="000000" w:themeColor="text1"/>
          <w:sz w:val="24"/>
          <w:szCs w:val="24"/>
        </w:rPr>
        <w:t xml:space="preserve">, (1998). Este movimiento desafió la práctica tradicional del servicio social, que muchas veces no consideraba las realidades sociales específicas de la región, promoviendo una mirada crítica y reflexiva que pone en el centro la transformación de las condiciones sociales que generan problemáticas. En el contexto del Programa Distrital de Justicia Restaurativa, la relevancia del trabajo social se manifiesta en su capacidad para intervenir de manera contextualizada, promoviendo la justicia social y la reparación del daño en una perspectiva integral y comunitaria. </w:t>
      </w:r>
    </w:p>
    <w:p w:rsidR="5DF22209" w:rsidP="60EAF375" w:rsidRDefault="5DF22209" w14:paraId="375B3F84" w14:textId="7A9B0DE3">
      <w:pPr>
        <w:spacing w:line="360" w:lineRule="auto"/>
        <w:ind w:firstLine="708"/>
        <w:jc w:val="both"/>
        <w:rPr>
          <w:rFonts w:ascii="Arial" w:hAnsi="Arial" w:eastAsia="Arial" w:cs="Arial"/>
          <w:color w:val="000000" w:themeColor="text1"/>
          <w:sz w:val="24"/>
          <w:szCs w:val="24"/>
        </w:rPr>
      </w:pPr>
      <w:r w:rsidRPr="60EAF375">
        <w:rPr>
          <w:rFonts w:ascii="Arial" w:hAnsi="Arial" w:eastAsia="Arial" w:cs="Arial"/>
          <w:color w:val="000000" w:themeColor="text1"/>
          <w:sz w:val="24"/>
          <w:szCs w:val="24"/>
        </w:rPr>
        <w:t xml:space="preserve">Los y las profesionales del trabajo social desempeñan un papel en el cual actúan como agentes de cambio que buscan mejorar la calidad de vida y la cohesión social. Su labor va más allá de la asistencia individual y se enfoca en la mediación, la evaluación de necesidades, y la facilitación de procesos participativos. Esto implica intervenir con los jóvenes agresores, víctimas, familias y comunidades, identificando las dinámicas que propician el conflicto y trabajando en soluciones que permitan la </w:t>
      </w:r>
      <w:proofErr w:type="spellStart"/>
      <w:r w:rsidRPr="60EAF375">
        <w:rPr>
          <w:rFonts w:ascii="Arial" w:hAnsi="Arial" w:eastAsia="Arial" w:cs="Arial"/>
          <w:color w:val="000000" w:themeColor="text1"/>
          <w:sz w:val="24"/>
          <w:szCs w:val="24"/>
        </w:rPr>
        <w:t>responsabilización</w:t>
      </w:r>
      <w:proofErr w:type="spellEnd"/>
      <w:r w:rsidRPr="60EAF375">
        <w:rPr>
          <w:rFonts w:ascii="Arial" w:hAnsi="Arial" w:eastAsia="Arial" w:cs="Arial"/>
          <w:color w:val="000000" w:themeColor="text1"/>
          <w:sz w:val="24"/>
          <w:szCs w:val="24"/>
        </w:rPr>
        <w:t xml:space="preserve"> del ofensor y la reparación efectiva a las víctimas. </w:t>
      </w:r>
    </w:p>
    <w:p w:rsidR="5DF22209" w:rsidP="60EAF375" w:rsidRDefault="5DF22209" w14:paraId="35FA23D9" w14:textId="2CC5EFF9">
      <w:pPr>
        <w:spacing w:line="360" w:lineRule="auto"/>
        <w:ind w:firstLine="708"/>
        <w:jc w:val="both"/>
        <w:rPr>
          <w:rFonts w:ascii="Arial" w:hAnsi="Arial" w:eastAsia="Arial" w:cs="Arial"/>
          <w:color w:val="000000" w:themeColor="text1"/>
          <w:sz w:val="24"/>
          <w:szCs w:val="24"/>
        </w:rPr>
      </w:pPr>
      <w:r w:rsidRPr="60EAF375">
        <w:rPr>
          <w:rFonts w:ascii="Arial" w:hAnsi="Arial" w:eastAsia="Arial" w:cs="Arial"/>
          <w:color w:val="000000" w:themeColor="text1"/>
          <w:sz w:val="24"/>
          <w:szCs w:val="24"/>
        </w:rPr>
        <w:t>Así mismo, los y las trabajadoras sociales integran teorías y prácticas adaptadas a las realidades locales, actuando como mediadores entre diversos actores y promoviendo el respeto por la dignidad humana y la justicia. Además, su compromiso ético asegura que la intervención no solo atienda los problemas inmediatos, sino que también busque una transformación social que prevenga futuros delitos y fomente una convivencia pacífica y constructiva.</w:t>
      </w:r>
    </w:p>
    <w:p w:rsidR="1B890322" w:rsidP="60EAF375" w:rsidRDefault="1B890322" w14:paraId="3D5D8AB3" w14:textId="2E369D8F">
      <w:pPr>
        <w:spacing w:line="360" w:lineRule="auto"/>
        <w:ind w:firstLine="708"/>
        <w:jc w:val="both"/>
        <w:rPr>
          <w:rFonts w:ascii="Arial" w:hAnsi="Arial" w:eastAsia="Arial" w:cs="Arial"/>
          <w:color w:val="000000" w:themeColor="text1"/>
          <w:sz w:val="24"/>
          <w:szCs w:val="24"/>
        </w:rPr>
      </w:pPr>
    </w:p>
    <w:p w:rsidR="1AB5FB7E" w:rsidP="60EAF375" w:rsidRDefault="1AB5FB7E" w14:paraId="445D2DD6" w14:textId="67D2C3F2">
      <w:pPr>
        <w:spacing w:line="360" w:lineRule="auto"/>
        <w:ind w:firstLine="708"/>
        <w:jc w:val="both"/>
        <w:rPr>
          <w:rFonts w:ascii="Arial" w:hAnsi="Arial" w:eastAsia="Arial" w:cs="Arial"/>
          <w:sz w:val="24"/>
          <w:szCs w:val="24"/>
        </w:rPr>
      </w:pPr>
      <w:r w:rsidRPr="60EAF375">
        <w:rPr>
          <w:rFonts w:ascii="Arial" w:hAnsi="Arial" w:eastAsia="Arial" w:cs="Arial"/>
          <w:b/>
          <w:bCs/>
          <w:color w:val="000000" w:themeColor="text1"/>
          <w:sz w:val="24"/>
          <w:szCs w:val="24"/>
        </w:rPr>
        <w:t>Ruta de atención</w:t>
      </w:r>
      <w:r>
        <w:br/>
      </w:r>
      <w:r w:rsidRPr="60EAF375" w:rsidR="0989C2F2">
        <w:rPr>
          <w:rFonts w:ascii="Arial" w:hAnsi="Arial" w:eastAsia="Arial" w:cs="Arial"/>
          <w:sz w:val="24"/>
          <w:szCs w:val="24"/>
        </w:rPr>
        <w:t xml:space="preserve">En el marco del Programa Distrital de Justicia Restaurativa para Adultos, se han estructurado rutas de atención destinadas, principalmente, a satisfacer las necesidades de las víctimas de delitos, especialmente los relacionados con la violencia intrafamiliar y las violencias basadas en género.  </w:t>
      </w:r>
    </w:p>
    <w:p w:rsidR="0989C2F2" w:rsidP="60EAF375" w:rsidRDefault="0989C2F2" w14:paraId="5DE5121D" w14:textId="1473D584">
      <w:pPr>
        <w:shd w:val="clear" w:color="auto" w:fill="FFFFFF" w:themeFill="background1"/>
        <w:spacing w:before="240" w:after="240" w:line="360" w:lineRule="auto"/>
        <w:ind w:right="1200"/>
        <w:jc w:val="both"/>
        <w:rPr>
          <w:rFonts w:ascii="Arial" w:hAnsi="Arial" w:eastAsia="Arial" w:cs="Arial"/>
          <w:sz w:val="24"/>
          <w:szCs w:val="24"/>
        </w:rPr>
      </w:pPr>
      <w:r w:rsidRPr="60EAF375">
        <w:rPr>
          <w:rFonts w:ascii="Arial" w:hAnsi="Arial" w:eastAsia="Arial" w:cs="Arial"/>
          <w:b/>
          <w:bCs/>
          <w:sz w:val="24"/>
          <w:szCs w:val="24"/>
        </w:rPr>
        <w:t xml:space="preserve">Escenarios de Operación  </w:t>
      </w:r>
    </w:p>
    <w:p w:rsidR="0989C2F2" w:rsidP="60EAF375" w:rsidRDefault="0989C2F2" w14:paraId="2585FC1E" w14:textId="08744B3E">
      <w:pPr>
        <w:shd w:val="clear" w:color="auto" w:fill="FFFFFF" w:themeFill="background1"/>
        <w:spacing w:before="240" w:after="240" w:line="360" w:lineRule="auto"/>
        <w:ind w:right="1200"/>
        <w:jc w:val="both"/>
        <w:rPr>
          <w:rFonts w:ascii="Arial" w:hAnsi="Arial" w:eastAsia="Arial" w:cs="Arial"/>
          <w:sz w:val="24"/>
          <w:szCs w:val="24"/>
        </w:rPr>
      </w:pPr>
      <w:r w:rsidRPr="60EAF375">
        <w:rPr>
          <w:rFonts w:ascii="Arial" w:hAnsi="Arial" w:eastAsia="Arial" w:cs="Arial"/>
          <w:b/>
          <w:bCs/>
          <w:sz w:val="24"/>
          <w:szCs w:val="24"/>
        </w:rPr>
        <w:t>1. Escenario de operación en el proceso penal</w:t>
      </w:r>
      <w:r w:rsidRPr="60EAF375" w:rsidR="1AE79570">
        <w:rPr>
          <w:rFonts w:ascii="Arial" w:hAnsi="Arial" w:eastAsia="Arial" w:cs="Arial"/>
          <w:b/>
          <w:bCs/>
          <w:sz w:val="24"/>
          <w:szCs w:val="24"/>
        </w:rPr>
        <w:t>:</w:t>
      </w:r>
      <w:r w:rsidRPr="60EAF375" w:rsidR="1AE79570">
        <w:rPr>
          <w:rFonts w:ascii="Arial" w:hAnsi="Arial" w:eastAsia="Arial" w:cs="Arial"/>
          <w:sz w:val="24"/>
          <w:szCs w:val="24"/>
        </w:rPr>
        <w:t xml:space="preserve"> e</w:t>
      </w:r>
      <w:r w:rsidRPr="60EAF375">
        <w:rPr>
          <w:rFonts w:ascii="Arial" w:hAnsi="Arial" w:eastAsia="Arial" w:cs="Arial"/>
          <w:sz w:val="24"/>
          <w:szCs w:val="24"/>
        </w:rPr>
        <w:t xml:space="preserve">n este contexto, el programa ofrece atención a personas involucradas en conductas constitutivas de delito que son remitidas por la Fiscalía, haciendo uso de sus facultades como titular de la acción penal. Este escenario contempla dos tipos de procesos:  </w:t>
      </w:r>
    </w:p>
    <w:p w:rsidR="0989C2F2" w:rsidP="60EAF375" w:rsidRDefault="0989C2F2" w14:paraId="7050AE6C" w14:textId="47E1F738">
      <w:pPr>
        <w:pStyle w:val="ListParagraph"/>
        <w:numPr>
          <w:ilvl w:val="0"/>
          <w:numId w:val="12"/>
        </w:numPr>
        <w:shd w:val="clear" w:color="auto" w:fill="FFFFFF" w:themeFill="background1"/>
        <w:spacing w:before="240" w:after="240" w:line="360" w:lineRule="auto"/>
        <w:ind w:right="1200"/>
        <w:jc w:val="both"/>
        <w:rPr>
          <w:rFonts w:ascii="Arial" w:hAnsi="Arial" w:eastAsia="Arial" w:cs="Arial"/>
          <w:sz w:val="24"/>
          <w:szCs w:val="24"/>
        </w:rPr>
      </w:pPr>
      <w:r w:rsidRPr="60EAF375">
        <w:rPr>
          <w:rFonts w:ascii="Arial" w:hAnsi="Arial" w:eastAsia="Arial" w:cs="Arial"/>
          <w:sz w:val="24"/>
          <w:szCs w:val="24"/>
        </w:rPr>
        <w:t xml:space="preserve">Proceso penal ordinario.  </w:t>
      </w:r>
    </w:p>
    <w:p w:rsidR="0989C2F2" w:rsidP="60EAF375" w:rsidRDefault="0989C2F2" w14:paraId="7EFBA19D" w14:textId="2BAE7B36">
      <w:pPr>
        <w:pStyle w:val="ListParagraph"/>
        <w:numPr>
          <w:ilvl w:val="0"/>
          <w:numId w:val="12"/>
        </w:numPr>
        <w:shd w:val="clear" w:color="auto" w:fill="FFFFFF" w:themeFill="background1"/>
        <w:spacing w:before="240" w:after="240" w:line="360" w:lineRule="auto"/>
        <w:ind w:right="1200"/>
        <w:jc w:val="both"/>
        <w:rPr>
          <w:rFonts w:ascii="Arial" w:hAnsi="Arial" w:eastAsia="Arial" w:cs="Arial"/>
          <w:sz w:val="24"/>
          <w:szCs w:val="24"/>
        </w:rPr>
      </w:pPr>
      <w:r w:rsidRPr="60EAF375">
        <w:rPr>
          <w:rFonts w:ascii="Arial" w:hAnsi="Arial" w:eastAsia="Arial" w:cs="Arial"/>
          <w:sz w:val="24"/>
          <w:szCs w:val="24"/>
        </w:rPr>
        <w:t xml:space="preserve">Procedimiento penal abreviado, particularmente en casos de violencia intrafamiliar.  </w:t>
      </w:r>
    </w:p>
    <w:p w:rsidR="0989C2F2" w:rsidP="60EAF375" w:rsidRDefault="0989C2F2" w14:paraId="435FEC82" w14:textId="51177BA7">
      <w:pPr>
        <w:shd w:val="clear" w:color="auto" w:fill="FFFFFF" w:themeFill="background1"/>
        <w:spacing w:before="240" w:after="240" w:line="360" w:lineRule="auto"/>
        <w:ind w:right="1200"/>
        <w:jc w:val="both"/>
        <w:rPr>
          <w:rFonts w:ascii="Arial" w:hAnsi="Arial" w:eastAsia="Arial" w:cs="Arial"/>
          <w:sz w:val="24"/>
          <w:szCs w:val="24"/>
        </w:rPr>
      </w:pPr>
      <w:r w:rsidRPr="60EAF375">
        <w:rPr>
          <w:rFonts w:ascii="Arial" w:hAnsi="Arial" w:eastAsia="Arial" w:cs="Arial"/>
          <w:sz w:val="24"/>
          <w:szCs w:val="24"/>
        </w:rPr>
        <w:t xml:space="preserve">A través del modelo </w:t>
      </w:r>
      <w:r w:rsidRPr="60EAF375" w:rsidR="6EF28DD7">
        <w:rPr>
          <w:rFonts w:ascii="Arial" w:hAnsi="Arial" w:eastAsia="Arial" w:cs="Arial"/>
          <w:sz w:val="24"/>
          <w:szCs w:val="24"/>
        </w:rPr>
        <w:t>R</w:t>
      </w:r>
      <w:r w:rsidRPr="60EAF375">
        <w:rPr>
          <w:rFonts w:ascii="Arial" w:hAnsi="Arial" w:eastAsia="Arial" w:cs="Arial"/>
          <w:sz w:val="24"/>
          <w:szCs w:val="24"/>
        </w:rPr>
        <w:t xml:space="preserve">uta Mujer, la Unidad de Violencia Intrafamiliar remite casos directamente al programa cuando estos se encuentran bajo el procedimiento penal abreviado. Según la instancia procesal correspondiente (ordinario o abreviado), es posible aplicar mecanismos procesales como:   </w:t>
      </w:r>
    </w:p>
    <w:p w:rsidR="0989C2F2" w:rsidP="60EAF375" w:rsidRDefault="0989C2F2" w14:paraId="61C81C42" w14:textId="772BB1E3">
      <w:pPr>
        <w:pStyle w:val="ListParagraph"/>
        <w:numPr>
          <w:ilvl w:val="0"/>
          <w:numId w:val="11"/>
        </w:numPr>
        <w:shd w:val="clear" w:color="auto" w:fill="FFFFFF" w:themeFill="background1"/>
        <w:spacing w:before="240" w:after="240" w:line="360" w:lineRule="auto"/>
        <w:ind w:right="1200"/>
        <w:jc w:val="both"/>
        <w:rPr>
          <w:rFonts w:ascii="Arial" w:hAnsi="Arial" w:eastAsia="Arial" w:cs="Arial"/>
          <w:sz w:val="24"/>
          <w:szCs w:val="24"/>
        </w:rPr>
      </w:pPr>
      <w:r w:rsidRPr="60EAF375">
        <w:rPr>
          <w:rFonts w:ascii="Arial" w:hAnsi="Arial" w:eastAsia="Arial" w:cs="Arial"/>
          <w:sz w:val="24"/>
          <w:szCs w:val="24"/>
        </w:rPr>
        <w:t xml:space="preserve">Principio de oportunidad, ya sea en modalidad de suspensión o de renuncia.  </w:t>
      </w:r>
    </w:p>
    <w:p w:rsidR="0989C2F2" w:rsidP="60EAF375" w:rsidRDefault="0989C2F2" w14:paraId="2C334C98" w14:textId="68E64E3B">
      <w:pPr>
        <w:pStyle w:val="ListParagraph"/>
        <w:numPr>
          <w:ilvl w:val="0"/>
          <w:numId w:val="11"/>
        </w:numPr>
        <w:shd w:val="clear" w:color="auto" w:fill="FFFFFF" w:themeFill="background1"/>
        <w:spacing w:before="240" w:after="240" w:line="360" w:lineRule="auto"/>
        <w:ind w:right="1200"/>
        <w:jc w:val="both"/>
        <w:rPr>
          <w:rFonts w:ascii="Arial" w:hAnsi="Arial" w:eastAsia="Arial" w:cs="Arial"/>
          <w:sz w:val="24"/>
          <w:szCs w:val="24"/>
        </w:rPr>
      </w:pPr>
      <w:r w:rsidRPr="60EAF375">
        <w:rPr>
          <w:rFonts w:ascii="Arial" w:hAnsi="Arial" w:eastAsia="Arial" w:cs="Arial"/>
          <w:sz w:val="24"/>
          <w:szCs w:val="24"/>
        </w:rPr>
        <w:t xml:space="preserve">Mediación penal.  </w:t>
      </w:r>
    </w:p>
    <w:p w:rsidR="0989C2F2" w:rsidP="60EAF375" w:rsidRDefault="0989C2F2" w14:paraId="2B5704AE" w14:textId="17D52E93">
      <w:pPr>
        <w:shd w:val="clear" w:color="auto" w:fill="FFFFFF" w:themeFill="background1"/>
        <w:spacing w:before="240" w:after="240" w:line="360" w:lineRule="auto"/>
        <w:ind w:right="1200"/>
        <w:jc w:val="both"/>
        <w:rPr>
          <w:rFonts w:ascii="Arial" w:hAnsi="Arial" w:eastAsia="Arial" w:cs="Arial"/>
          <w:sz w:val="24"/>
          <w:szCs w:val="24"/>
        </w:rPr>
      </w:pPr>
      <w:r w:rsidRPr="60EAF375">
        <w:rPr>
          <w:rFonts w:ascii="Arial" w:hAnsi="Arial" w:eastAsia="Arial" w:cs="Arial"/>
          <w:b/>
          <w:bCs/>
          <w:sz w:val="24"/>
          <w:szCs w:val="24"/>
        </w:rPr>
        <w:t>2. Escenario de operación en la jurisdicción de familia</w:t>
      </w:r>
      <w:r w:rsidRPr="60EAF375" w:rsidR="1A861C88">
        <w:rPr>
          <w:rFonts w:ascii="Arial" w:hAnsi="Arial" w:eastAsia="Arial" w:cs="Arial"/>
          <w:b/>
          <w:bCs/>
          <w:sz w:val="24"/>
          <w:szCs w:val="24"/>
        </w:rPr>
        <w:t xml:space="preserve">: </w:t>
      </w:r>
      <w:r w:rsidRPr="60EAF375" w:rsidR="1A861C88">
        <w:rPr>
          <w:rFonts w:ascii="Arial" w:hAnsi="Arial" w:eastAsia="Arial" w:cs="Arial"/>
          <w:sz w:val="24"/>
          <w:szCs w:val="24"/>
        </w:rPr>
        <w:t>e</w:t>
      </w:r>
      <w:r w:rsidRPr="60EAF375">
        <w:rPr>
          <w:rFonts w:ascii="Arial" w:hAnsi="Arial" w:eastAsia="Arial" w:cs="Arial"/>
          <w:sz w:val="24"/>
          <w:szCs w:val="24"/>
        </w:rPr>
        <w:t xml:space="preserve">n este escenario, el programa atiende casos que surgen de conflictos dentro del sistema familiar y que han sido llevados a la jurisdicción de familia para su resolución. Las remisiones pueden ser realizadas por:  </w:t>
      </w:r>
    </w:p>
    <w:p w:rsidR="0989C2F2" w:rsidP="60EAF375" w:rsidRDefault="0989C2F2" w14:paraId="003E4A35" w14:textId="383A3E92">
      <w:pPr>
        <w:pStyle w:val="ListParagraph"/>
        <w:numPr>
          <w:ilvl w:val="0"/>
          <w:numId w:val="10"/>
        </w:numPr>
        <w:shd w:val="clear" w:color="auto" w:fill="FFFFFF" w:themeFill="background1"/>
        <w:spacing w:before="240" w:after="240" w:line="360" w:lineRule="auto"/>
        <w:ind w:right="1200"/>
        <w:jc w:val="both"/>
        <w:rPr>
          <w:rFonts w:ascii="Arial" w:hAnsi="Arial" w:eastAsia="Arial" w:cs="Arial"/>
          <w:sz w:val="24"/>
          <w:szCs w:val="24"/>
        </w:rPr>
      </w:pPr>
      <w:r w:rsidRPr="60EAF375">
        <w:rPr>
          <w:rFonts w:ascii="Arial" w:hAnsi="Arial" w:eastAsia="Arial" w:cs="Arial"/>
          <w:sz w:val="24"/>
          <w:szCs w:val="24"/>
        </w:rPr>
        <w:t>Jueces de Familia</w:t>
      </w:r>
    </w:p>
    <w:p w:rsidR="0989C2F2" w:rsidP="60EAF375" w:rsidRDefault="0989C2F2" w14:paraId="5A9BD58A" w14:textId="4E136CB3">
      <w:pPr>
        <w:pStyle w:val="ListParagraph"/>
        <w:numPr>
          <w:ilvl w:val="0"/>
          <w:numId w:val="10"/>
        </w:numPr>
        <w:shd w:val="clear" w:color="auto" w:fill="FFFFFF" w:themeFill="background1"/>
        <w:spacing w:before="240" w:after="240" w:line="360" w:lineRule="auto"/>
        <w:ind w:right="1200"/>
        <w:jc w:val="both"/>
        <w:rPr>
          <w:rFonts w:ascii="Arial" w:hAnsi="Arial" w:eastAsia="Arial" w:cs="Arial"/>
          <w:sz w:val="24"/>
          <w:szCs w:val="24"/>
        </w:rPr>
      </w:pPr>
      <w:r w:rsidRPr="60EAF375">
        <w:rPr>
          <w:rFonts w:ascii="Arial" w:hAnsi="Arial" w:eastAsia="Arial" w:cs="Arial"/>
          <w:sz w:val="24"/>
          <w:szCs w:val="24"/>
        </w:rPr>
        <w:t xml:space="preserve">Comisarías de Familia </w:t>
      </w:r>
    </w:p>
    <w:p w:rsidR="0989C2F2" w:rsidP="60EAF375" w:rsidRDefault="0989C2F2" w14:paraId="28A8558C" w14:textId="54C1FF38">
      <w:pPr>
        <w:shd w:val="clear" w:color="auto" w:fill="FFFFFF" w:themeFill="background1"/>
        <w:spacing w:before="240" w:after="240" w:line="360" w:lineRule="auto"/>
        <w:ind w:right="1200"/>
        <w:jc w:val="both"/>
        <w:rPr>
          <w:rFonts w:ascii="Arial" w:hAnsi="Arial" w:eastAsia="Arial" w:cs="Arial"/>
          <w:sz w:val="24"/>
          <w:szCs w:val="24"/>
        </w:rPr>
      </w:pPr>
      <w:r w:rsidRPr="608D2E7E" w:rsidR="0989C2F2">
        <w:rPr>
          <w:rFonts w:ascii="Arial" w:hAnsi="Arial" w:eastAsia="Arial" w:cs="Arial"/>
          <w:sz w:val="24"/>
          <w:szCs w:val="24"/>
        </w:rPr>
        <w:t xml:space="preserve">El objetivo es facilitar la </w:t>
      </w:r>
      <w:r w:rsidRPr="608D2E7E" w:rsidR="0989C2F2">
        <w:rPr>
          <w:rFonts w:ascii="Arial" w:hAnsi="Arial" w:eastAsia="Arial" w:cs="Arial"/>
          <w:sz w:val="24"/>
          <w:szCs w:val="24"/>
        </w:rPr>
        <w:t>responsabilización</w:t>
      </w:r>
      <w:r w:rsidRPr="608D2E7E" w:rsidR="0989C2F2">
        <w:rPr>
          <w:rFonts w:ascii="Arial" w:hAnsi="Arial" w:eastAsia="Arial" w:cs="Arial"/>
          <w:sz w:val="24"/>
          <w:szCs w:val="24"/>
        </w:rPr>
        <w:t xml:space="preserve">, prevenir agresiones, reparar daños y promover acuerdos de convivencia que contribuyan al cuidado mutuo y a relaciones familiares saludables.  </w:t>
      </w:r>
      <w:r>
        <w:br/>
      </w:r>
      <w:r>
        <w:br/>
      </w:r>
      <w:r w:rsidRPr="608D2E7E" w:rsidR="0989C2F2">
        <w:rPr>
          <w:rFonts w:ascii="Arial" w:hAnsi="Arial" w:eastAsia="Arial" w:cs="Arial"/>
          <w:sz w:val="24"/>
          <w:szCs w:val="24"/>
        </w:rPr>
        <w:t xml:space="preserve">En este marco, se gestionan casos bajo las siguientes instancias:   </w:t>
      </w:r>
    </w:p>
    <w:p w:rsidR="675B778A" w:rsidP="60EAF375" w:rsidRDefault="675B778A" w14:paraId="08263E74" w14:textId="056BB629">
      <w:pPr>
        <w:pStyle w:val="ListParagraph"/>
        <w:numPr>
          <w:ilvl w:val="0"/>
          <w:numId w:val="9"/>
        </w:numPr>
        <w:shd w:val="clear" w:color="auto" w:fill="FFFFFF" w:themeFill="background1"/>
        <w:spacing w:before="240" w:after="240" w:line="360" w:lineRule="auto"/>
        <w:ind w:right="1200"/>
        <w:jc w:val="both"/>
        <w:rPr>
          <w:rFonts w:ascii="Arial" w:hAnsi="Arial" w:eastAsia="Arial" w:cs="Arial"/>
          <w:sz w:val="24"/>
          <w:szCs w:val="24"/>
        </w:rPr>
      </w:pPr>
      <w:r w:rsidRPr="60EAF375">
        <w:rPr>
          <w:rFonts w:ascii="Arial" w:hAnsi="Arial" w:eastAsia="Arial" w:cs="Arial"/>
          <w:sz w:val="24"/>
          <w:szCs w:val="24"/>
        </w:rPr>
        <w:t>P</w:t>
      </w:r>
      <w:r w:rsidRPr="60EAF375" w:rsidR="0989C2F2">
        <w:rPr>
          <w:rFonts w:ascii="Arial" w:hAnsi="Arial" w:eastAsia="Arial" w:cs="Arial"/>
          <w:sz w:val="24"/>
          <w:szCs w:val="24"/>
        </w:rPr>
        <w:t xml:space="preserve">rocesos adelantados ante Jueces de Familia, donde se aplica la conciliación </w:t>
      </w:r>
      <w:proofErr w:type="spellStart"/>
      <w:r w:rsidRPr="60EAF375" w:rsidR="0989C2F2">
        <w:rPr>
          <w:rFonts w:ascii="Arial" w:hAnsi="Arial" w:eastAsia="Arial" w:cs="Arial"/>
          <w:sz w:val="24"/>
          <w:szCs w:val="24"/>
        </w:rPr>
        <w:t>preprocesal</w:t>
      </w:r>
      <w:proofErr w:type="spellEnd"/>
      <w:r w:rsidRPr="60EAF375" w:rsidR="0989C2F2">
        <w:rPr>
          <w:rFonts w:ascii="Arial" w:hAnsi="Arial" w:eastAsia="Arial" w:cs="Arial"/>
          <w:sz w:val="24"/>
          <w:szCs w:val="24"/>
        </w:rPr>
        <w:t xml:space="preserve">.  </w:t>
      </w:r>
    </w:p>
    <w:p w:rsidR="0989C2F2" w:rsidP="60EAF375" w:rsidRDefault="0989C2F2" w14:paraId="5E65965F" w14:textId="343DA0D6">
      <w:pPr>
        <w:pStyle w:val="ListParagraph"/>
        <w:numPr>
          <w:ilvl w:val="0"/>
          <w:numId w:val="9"/>
        </w:numPr>
        <w:shd w:val="clear" w:color="auto" w:fill="FFFFFF" w:themeFill="background1"/>
        <w:spacing w:before="240" w:after="240" w:line="360" w:lineRule="auto"/>
        <w:ind w:right="1200"/>
        <w:jc w:val="both"/>
        <w:rPr>
          <w:rFonts w:ascii="Arial" w:hAnsi="Arial" w:eastAsia="Arial" w:cs="Arial"/>
          <w:sz w:val="24"/>
          <w:szCs w:val="24"/>
        </w:rPr>
      </w:pPr>
      <w:r w:rsidRPr="60EAF375">
        <w:rPr>
          <w:rFonts w:ascii="Arial" w:hAnsi="Arial" w:eastAsia="Arial" w:cs="Arial"/>
          <w:sz w:val="24"/>
          <w:szCs w:val="24"/>
        </w:rPr>
        <w:t xml:space="preserve">Trámites de medidas de protección gestionados por las Comisarías de Familia, en los que el programa puede participar mediante:  </w:t>
      </w:r>
    </w:p>
    <w:p w:rsidR="0989C2F2" w:rsidP="60EAF375" w:rsidRDefault="0989C2F2" w14:paraId="447A7D90" w14:textId="2A4E8526">
      <w:pPr>
        <w:pStyle w:val="ListParagraph"/>
        <w:numPr>
          <w:ilvl w:val="1"/>
          <w:numId w:val="9"/>
        </w:numPr>
        <w:shd w:val="clear" w:color="auto" w:fill="FFFFFF" w:themeFill="background1"/>
        <w:spacing w:before="240" w:after="240" w:line="360" w:lineRule="auto"/>
        <w:ind w:right="1200"/>
        <w:jc w:val="both"/>
        <w:rPr>
          <w:rFonts w:ascii="Arial" w:hAnsi="Arial" w:eastAsia="Arial" w:cs="Arial"/>
          <w:sz w:val="24"/>
          <w:szCs w:val="24"/>
        </w:rPr>
      </w:pPr>
      <w:r w:rsidRPr="60EAF375">
        <w:rPr>
          <w:rFonts w:ascii="Arial" w:hAnsi="Arial" w:eastAsia="Arial" w:cs="Arial"/>
          <w:sz w:val="24"/>
          <w:szCs w:val="24"/>
        </w:rPr>
        <w:t xml:space="preserve">Seguimiento a las medidas de protección.  </w:t>
      </w:r>
    </w:p>
    <w:p w:rsidR="0989C2F2" w:rsidP="60EAF375" w:rsidRDefault="0989C2F2" w14:paraId="5CB42A4F" w14:textId="2B28CBFF">
      <w:pPr>
        <w:pStyle w:val="ListParagraph"/>
        <w:numPr>
          <w:ilvl w:val="1"/>
          <w:numId w:val="9"/>
        </w:numPr>
        <w:shd w:val="clear" w:color="auto" w:fill="FFFFFF" w:themeFill="background1"/>
        <w:spacing w:before="240" w:after="240" w:line="360" w:lineRule="auto"/>
        <w:ind w:right="1200"/>
        <w:jc w:val="both"/>
        <w:rPr>
          <w:rFonts w:ascii="Arial" w:hAnsi="Arial" w:eastAsia="Arial" w:cs="Arial"/>
          <w:sz w:val="24"/>
          <w:szCs w:val="24"/>
        </w:rPr>
      </w:pPr>
      <w:r w:rsidRPr="60EAF375">
        <w:rPr>
          <w:rFonts w:ascii="Arial" w:hAnsi="Arial" w:eastAsia="Arial" w:cs="Arial"/>
          <w:sz w:val="24"/>
          <w:szCs w:val="24"/>
        </w:rPr>
        <w:t xml:space="preserve">Inclusión como parte del contenido de las medidas de protección.  </w:t>
      </w:r>
    </w:p>
    <w:p w:rsidR="0989C2F2" w:rsidP="60EAF375" w:rsidRDefault="0989C2F2" w14:paraId="0ED37008" w14:textId="4AFE3A27" w14:noSpellErr="1">
      <w:pPr>
        <w:shd w:val="clear" w:color="auto" w:fill="FFFFFF" w:themeFill="background1"/>
        <w:spacing w:before="240" w:after="240" w:line="360" w:lineRule="auto"/>
        <w:ind w:right="1200"/>
        <w:jc w:val="both"/>
        <w:rPr>
          <w:rFonts w:ascii="Arial" w:hAnsi="Arial" w:eastAsia="Arial" w:cs="Arial"/>
          <w:sz w:val="24"/>
          <w:szCs w:val="24"/>
        </w:rPr>
      </w:pPr>
      <w:r w:rsidRPr="608D2E7E" w:rsidR="0989C2F2">
        <w:rPr>
          <w:rFonts w:ascii="Arial" w:hAnsi="Arial" w:eastAsia="Arial" w:cs="Arial"/>
          <w:sz w:val="24"/>
          <w:szCs w:val="24"/>
        </w:rPr>
        <w:t xml:space="preserve">Actualmente, gracias a la articulación con la Secretaría de Integración Social, el programa puede ser incorporado oficialmente en las medidas de protección emitidas por los Comisarios de Familia, fortaleciendo así la atención y prevención de agresiones en el ámbito familiar.  </w:t>
      </w:r>
    </w:p>
    <w:p w:rsidR="60EAF375" w:rsidP="60EAF375" w:rsidRDefault="60EAF375" w14:paraId="2D9B938D" w14:textId="26A5F8BB">
      <w:pPr>
        <w:shd w:val="clear" w:color="auto" w:fill="FFFFFF" w:themeFill="background1"/>
        <w:spacing w:before="240" w:after="240" w:line="360" w:lineRule="auto"/>
        <w:ind w:right="1200"/>
        <w:jc w:val="both"/>
        <w:rPr>
          <w:rFonts w:ascii="Arial" w:hAnsi="Arial" w:eastAsia="Arial" w:cs="Arial"/>
          <w:sz w:val="24"/>
          <w:szCs w:val="24"/>
        </w:rPr>
      </w:pPr>
    </w:p>
    <w:p w:rsidR="3A6FC807" w:rsidP="60EAF375" w:rsidRDefault="3A6FC807" w14:paraId="75F76B50" w14:textId="6E0D14C3" w14:noSpellErr="1">
      <w:pPr>
        <w:shd w:val="clear" w:color="auto" w:fill="FFFFFF" w:themeFill="background1"/>
        <w:spacing w:before="240" w:after="240" w:line="360" w:lineRule="auto"/>
        <w:jc w:val="both"/>
        <w:rPr>
          <w:rFonts w:ascii="Arial" w:hAnsi="Arial" w:eastAsia="Arial" w:cs="Arial"/>
          <w:b w:val="1"/>
          <w:bCs w:val="1"/>
          <w:sz w:val="24"/>
          <w:szCs w:val="24"/>
        </w:rPr>
      </w:pPr>
      <w:r w:rsidRPr="608D2E7E" w:rsidR="3A6FC807">
        <w:rPr>
          <w:rFonts w:ascii="Arial" w:hAnsi="Arial" w:eastAsia="Arial" w:cs="Arial"/>
          <w:b w:val="1"/>
          <w:bCs w:val="1"/>
          <w:sz w:val="24"/>
          <w:szCs w:val="24"/>
        </w:rPr>
        <w:t xml:space="preserve">Criterios orientadores del procedimiento penal abreviado: </w:t>
      </w:r>
    </w:p>
    <w:p w:rsidR="3A6FC807" w:rsidP="60EAF375" w:rsidRDefault="3A6FC807" w14:paraId="669BCBAB" w14:textId="7D85756C" w14:noSpellErr="1">
      <w:pPr>
        <w:shd w:val="clear" w:color="auto" w:fill="FFFFFF" w:themeFill="background1"/>
        <w:spacing w:before="240" w:after="240" w:line="360" w:lineRule="auto"/>
        <w:jc w:val="both"/>
        <w:rPr>
          <w:rFonts w:ascii="Arial" w:hAnsi="Arial" w:eastAsia="Arial" w:cs="Arial"/>
          <w:sz w:val="24"/>
          <w:szCs w:val="24"/>
        </w:rPr>
      </w:pPr>
      <w:r w:rsidRPr="608D2E7E" w:rsidR="3A6FC807">
        <w:rPr>
          <w:rFonts w:ascii="Arial" w:hAnsi="Arial" w:eastAsia="Arial" w:cs="Arial"/>
          <w:sz w:val="24"/>
          <w:szCs w:val="24"/>
        </w:rPr>
        <w:t xml:space="preserve">El procedimiento penal abreviado en Colombia fue establecido como parte de una reforma legislativa diseñada para agilizar los procesos judiciales, optimizar la gestión de los casos y garantizar respuestas más oportunas. Como resultado, este procedimiento se rige por términos legales estrictos que determinan el tiempo entre cada etapa procesal:   </w:t>
      </w:r>
    </w:p>
    <w:p w:rsidR="3A6FC807" w:rsidP="60EAF375" w:rsidRDefault="3A6FC807" w14:paraId="43E5BD42" w14:textId="1F10A202">
      <w:pPr>
        <w:pStyle w:val="ListParagraph"/>
        <w:numPr>
          <w:ilvl w:val="0"/>
          <w:numId w:val="7"/>
        </w:numPr>
        <w:shd w:val="clear" w:color="auto" w:fill="FFFFFF" w:themeFill="background1"/>
        <w:spacing w:before="240" w:after="240" w:line="360" w:lineRule="auto"/>
        <w:jc w:val="both"/>
        <w:rPr>
          <w:rFonts w:ascii="Arial" w:hAnsi="Arial" w:eastAsia="Arial" w:cs="Arial"/>
          <w:sz w:val="24"/>
          <w:szCs w:val="24"/>
        </w:rPr>
      </w:pPr>
      <w:r w:rsidRPr="60EAF375">
        <w:rPr>
          <w:rFonts w:ascii="Arial" w:hAnsi="Arial" w:eastAsia="Arial" w:cs="Arial"/>
          <w:sz w:val="24"/>
          <w:szCs w:val="24"/>
        </w:rPr>
        <w:t xml:space="preserve">Desde el traslado del escrito de acusación, no pueden transcurrir más de 5 días para su presentación.  </w:t>
      </w:r>
    </w:p>
    <w:p w:rsidR="3A6FC807" w:rsidP="60EAF375" w:rsidRDefault="3A6FC807" w14:paraId="6B9A8083" w14:textId="5C22283C">
      <w:pPr>
        <w:pStyle w:val="ListParagraph"/>
        <w:numPr>
          <w:ilvl w:val="0"/>
          <w:numId w:val="7"/>
        </w:numPr>
        <w:shd w:val="clear" w:color="auto" w:fill="FFFFFF" w:themeFill="background1"/>
        <w:spacing w:before="240" w:after="240" w:line="360" w:lineRule="auto"/>
        <w:jc w:val="both"/>
        <w:rPr>
          <w:rFonts w:ascii="Arial" w:hAnsi="Arial" w:eastAsia="Arial" w:cs="Arial"/>
          <w:sz w:val="24"/>
          <w:szCs w:val="24"/>
        </w:rPr>
      </w:pPr>
      <w:r w:rsidRPr="60EAF375">
        <w:rPr>
          <w:rFonts w:ascii="Arial" w:hAnsi="Arial" w:eastAsia="Arial" w:cs="Arial"/>
          <w:sz w:val="24"/>
          <w:szCs w:val="24"/>
        </w:rPr>
        <w:t xml:space="preserve">Desde la presentación del escrito de acusación hasta la convocatoria y realización de la audiencia concentrada, el plazo no puede exceder los 60 días.  </w:t>
      </w:r>
    </w:p>
    <w:p w:rsidR="3A6FC807" w:rsidP="60EAF375" w:rsidRDefault="3A6FC807" w14:paraId="6200D622" w14:textId="4C673256">
      <w:pPr>
        <w:pStyle w:val="ListParagraph"/>
        <w:numPr>
          <w:ilvl w:val="0"/>
          <w:numId w:val="7"/>
        </w:numPr>
        <w:shd w:val="clear" w:color="auto" w:fill="FFFFFF" w:themeFill="background1"/>
        <w:spacing w:before="240" w:after="240" w:line="360" w:lineRule="auto"/>
        <w:jc w:val="both"/>
        <w:rPr>
          <w:rFonts w:ascii="Arial" w:hAnsi="Arial" w:eastAsia="Arial" w:cs="Arial"/>
          <w:sz w:val="24"/>
          <w:szCs w:val="24"/>
        </w:rPr>
      </w:pPr>
      <w:r w:rsidRPr="60EAF375">
        <w:rPr>
          <w:rFonts w:ascii="Arial" w:hAnsi="Arial" w:eastAsia="Arial" w:cs="Arial"/>
          <w:sz w:val="24"/>
          <w:szCs w:val="24"/>
        </w:rPr>
        <w:t xml:space="preserve">Desde la audiencia concentrada hasta la instalación de la audiencia de juicio oral, el tiempo máximo es de 30 días.  </w:t>
      </w:r>
    </w:p>
    <w:p w:rsidR="3A6FC807" w:rsidP="60EAF375" w:rsidRDefault="3A6FC807" w14:paraId="2DE7654E" w14:textId="6D52AAC8">
      <w:pPr>
        <w:pStyle w:val="ListParagraph"/>
        <w:numPr>
          <w:ilvl w:val="0"/>
          <w:numId w:val="7"/>
        </w:numPr>
        <w:shd w:val="clear" w:color="auto" w:fill="FFFFFF" w:themeFill="background1"/>
        <w:spacing w:before="240" w:after="240" w:line="360" w:lineRule="auto"/>
        <w:jc w:val="both"/>
        <w:rPr>
          <w:rFonts w:ascii="Arial" w:hAnsi="Arial" w:eastAsia="Arial" w:cs="Arial"/>
          <w:sz w:val="24"/>
          <w:szCs w:val="24"/>
        </w:rPr>
      </w:pPr>
      <w:r w:rsidRPr="60EAF375">
        <w:rPr>
          <w:rFonts w:ascii="Arial" w:hAnsi="Arial" w:eastAsia="Arial" w:cs="Arial"/>
          <w:sz w:val="24"/>
          <w:szCs w:val="24"/>
        </w:rPr>
        <w:t xml:space="preserve">Tras la audiencia de juicio oral, el juez debe emitir sentencia en un plazo no superior a 10 días.  </w:t>
      </w:r>
    </w:p>
    <w:p w:rsidR="3A6FC807" w:rsidP="60EAF375" w:rsidRDefault="3A6FC807" w14:paraId="579A45A7" w14:textId="038AFB0C" w14:noSpellErr="1">
      <w:pPr>
        <w:shd w:val="clear" w:color="auto" w:fill="FFFFFF" w:themeFill="background1"/>
        <w:spacing w:before="240" w:after="240" w:line="360" w:lineRule="auto"/>
        <w:jc w:val="both"/>
        <w:rPr>
          <w:rFonts w:ascii="Arial" w:hAnsi="Arial" w:eastAsia="Arial" w:cs="Arial"/>
          <w:sz w:val="24"/>
          <w:szCs w:val="24"/>
        </w:rPr>
      </w:pPr>
      <w:r w:rsidRPr="608D2E7E" w:rsidR="3A6FC807">
        <w:rPr>
          <w:rFonts w:ascii="Arial" w:hAnsi="Arial" w:eastAsia="Arial" w:cs="Arial"/>
          <w:sz w:val="24"/>
          <w:szCs w:val="24"/>
        </w:rPr>
        <w:t xml:space="preserve">Estos plazos son perentorios y no permiten flexibilidad una vez se ha hecho el traslado del escrito de acusación.  </w:t>
      </w:r>
    </w:p>
    <w:p w:rsidR="3A6FC807" w:rsidP="60EAF375" w:rsidRDefault="3A6FC807" w14:paraId="1FDCC609" w14:textId="2C2D31DF">
      <w:pPr>
        <w:pStyle w:val="ListParagraph"/>
        <w:numPr>
          <w:ilvl w:val="0"/>
          <w:numId w:val="8"/>
        </w:numPr>
        <w:shd w:val="clear" w:color="auto" w:fill="FFFFFF" w:themeFill="background1"/>
        <w:spacing w:before="240" w:after="240" w:line="360" w:lineRule="auto"/>
        <w:jc w:val="both"/>
        <w:rPr>
          <w:rFonts w:ascii="Arial" w:hAnsi="Arial" w:eastAsia="Arial" w:cs="Arial"/>
          <w:sz w:val="24"/>
          <w:szCs w:val="24"/>
        </w:rPr>
      </w:pPr>
      <w:r w:rsidRPr="60EAF375">
        <w:rPr>
          <w:rFonts w:ascii="Arial" w:hAnsi="Arial" w:eastAsia="Arial" w:cs="Arial"/>
          <w:b/>
          <w:bCs/>
          <w:sz w:val="24"/>
          <w:szCs w:val="24"/>
        </w:rPr>
        <w:t>Investigación preliminar</w:t>
      </w:r>
      <w:r w:rsidRPr="60EAF375" w:rsidR="74BE0168">
        <w:rPr>
          <w:rFonts w:ascii="Arial" w:hAnsi="Arial" w:eastAsia="Arial" w:cs="Arial"/>
          <w:b/>
          <w:bCs/>
          <w:sz w:val="24"/>
          <w:szCs w:val="24"/>
        </w:rPr>
        <w:t xml:space="preserve">: </w:t>
      </w:r>
      <w:r w:rsidRPr="60EAF375" w:rsidR="74BE0168">
        <w:rPr>
          <w:rFonts w:ascii="Arial" w:hAnsi="Arial" w:eastAsia="Arial" w:cs="Arial"/>
          <w:sz w:val="24"/>
          <w:szCs w:val="24"/>
        </w:rPr>
        <w:t>a</w:t>
      </w:r>
      <w:r w:rsidRPr="60EAF375">
        <w:rPr>
          <w:rFonts w:ascii="Arial" w:hAnsi="Arial" w:eastAsia="Arial" w:cs="Arial"/>
          <w:sz w:val="24"/>
          <w:szCs w:val="24"/>
        </w:rPr>
        <w:t xml:space="preserve">ntes del traslado del escrito de acusación, la Fiscalía cuenta con un período definido para realizar la indagación preliminar y la investigación, donde se recaban pruebas y se estructura el caso. Según el modelo administrativo de la Fiscalía, este tiempo se estima entre 3 y 5 meses, aunque puede extenderse hasta 6 meses, dependiendo de la complejidad del caso.  </w:t>
      </w:r>
    </w:p>
    <w:p w:rsidR="3A6FC807" w:rsidP="60EAF375" w:rsidRDefault="3A6FC807" w14:paraId="5BD1B846" w14:textId="6E2C36F4">
      <w:pPr>
        <w:pStyle w:val="ListParagraph"/>
        <w:numPr>
          <w:ilvl w:val="0"/>
          <w:numId w:val="8"/>
        </w:numPr>
        <w:shd w:val="clear" w:color="auto" w:fill="FFFFFF" w:themeFill="background1"/>
        <w:spacing w:before="240" w:after="240" w:line="360" w:lineRule="auto"/>
        <w:jc w:val="both"/>
        <w:rPr>
          <w:rFonts w:ascii="Arial" w:hAnsi="Arial" w:eastAsia="Arial" w:cs="Arial"/>
          <w:sz w:val="24"/>
          <w:szCs w:val="24"/>
        </w:rPr>
      </w:pPr>
      <w:r w:rsidRPr="60EAF375">
        <w:rPr>
          <w:rFonts w:ascii="Arial" w:hAnsi="Arial" w:eastAsia="Arial" w:cs="Arial"/>
          <w:b/>
          <w:bCs/>
          <w:sz w:val="24"/>
          <w:szCs w:val="24"/>
        </w:rPr>
        <w:t>Enfoque del Programa de Justicia Restaurativa</w:t>
      </w:r>
      <w:r w:rsidRPr="60EAF375" w:rsidR="0DFC10A2">
        <w:rPr>
          <w:rFonts w:ascii="Arial" w:hAnsi="Arial" w:eastAsia="Arial" w:cs="Arial"/>
          <w:b/>
          <w:bCs/>
          <w:sz w:val="24"/>
          <w:szCs w:val="24"/>
        </w:rPr>
        <w:t xml:space="preserve">: </w:t>
      </w:r>
      <w:r w:rsidRPr="60EAF375" w:rsidR="0DFC10A2">
        <w:rPr>
          <w:rFonts w:ascii="Arial" w:hAnsi="Arial" w:eastAsia="Arial" w:cs="Arial"/>
          <w:sz w:val="24"/>
          <w:szCs w:val="24"/>
        </w:rPr>
        <w:t>e</w:t>
      </w:r>
      <w:r w:rsidRPr="60EAF375">
        <w:rPr>
          <w:rFonts w:ascii="Arial" w:hAnsi="Arial" w:eastAsia="Arial" w:cs="Arial"/>
          <w:sz w:val="24"/>
          <w:szCs w:val="24"/>
        </w:rPr>
        <w:t xml:space="preserve">l Programa de Justicia Restaurativa trabaja de manera articulada con los tiempos de la Fiscalía, procurando que la atención se desarrolle dentro del mismo período estimado de 3 a 5 meses. Durante este tiempo, el programa busca:   </w:t>
      </w:r>
    </w:p>
    <w:p w:rsidR="3A6FC807" w:rsidP="60EAF375" w:rsidRDefault="3A6FC807" w14:paraId="4B474D91" w14:textId="19E708EA">
      <w:pPr>
        <w:pStyle w:val="ListParagraph"/>
        <w:numPr>
          <w:ilvl w:val="0"/>
          <w:numId w:val="5"/>
        </w:numPr>
        <w:shd w:val="clear" w:color="auto" w:fill="FFFFFF" w:themeFill="background1"/>
        <w:spacing w:before="240" w:after="240" w:line="360" w:lineRule="auto"/>
        <w:jc w:val="both"/>
        <w:rPr>
          <w:rFonts w:ascii="Arial" w:hAnsi="Arial" w:eastAsia="Arial" w:cs="Arial"/>
          <w:sz w:val="24"/>
          <w:szCs w:val="24"/>
        </w:rPr>
      </w:pPr>
      <w:r w:rsidRPr="60EAF375">
        <w:rPr>
          <w:rFonts w:ascii="Arial" w:hAnsi="Arial" w:eastAsia="Arial" w:cs="Arial"/>
          <w:sz w:val="24"/>
          <w:szCs w:val="24"/>
        </w:rPr>
        <w:t xml:space="preserve">Regular la situación del caso.  </w:t>
      </w:r>
    </w:p>
    <w:p w:rsidR="3A6FC807" w:rsidP="60EAF375" w:rsidRDefault="3A6FC807" w14:paraId="7F58725D" w14:textId="6064C2C2">
      <w:pPr>
        <w:pStyle w:val="ListParagraph"/>
        <w:numPr>
          <w:ilvl w:val="0"/>
          <w:numId w:val="5"/>
        </w:numPr>
        <w:shd w:val="clear" w:color="auto" w:fill="FFFFFF" w:themeFill="background1"/>
        <w:spacing w:before="240" w:after="240" w:line="360" w:lineRule="auto"/>
        <w:jc w:val="both"/>
        <w:rPr>
          <w:rFonts w:ascii="Arial" w:hAnsi="Arial" w:eastAsia="Arial" w:cs="Arial"/>
          <w:sz w:val="24"/>
          <w:szCs w:val="24"/>
        </w:rPr>
      </w:pPr>
      <w:r w:rsidRPr="60EAF375">
        <w:rPr>
          <w:rFonts w:ascii="Arial" w:hAnsi="Arial" w:eastAsia="Arial" w:cs="Arial"/>
          <w:sz w:val="24"/>
          <w:szCs w:val="24"/>
        </w:rPr>
        <w:t xml:space="preserve">Promover acciones para garantizar los derechos y necesidades de las víctimas.  </w:t>
      </w:r>
    </w:p>
    <w:p w:rsidR="3A6FC807" w:rsidP="60EAF375" w:rsidRDefault="3A6FC807" w14:paraId="640CC7BF" w14:textId="520AD8F0">
      <w:pPr>
        <w:pStyle w:val="ListParagraph"/>
        <w:numPr>
          <w:ilvl w:val="0"/>
          <w:numId w:val="5"/>
        </w:numPr>
        <w:shd w:val="clear" w:color="auto" w:fill="FFFFFF" w:themeFill="background1"/>
        <w:spacing w:before="240" w:after="240" w:line="360" w:lineRule="auto"/>
        <w:jc w:val="both"/>
        <w:rPr>
          <w:rFonts w:ascii="Arial" w:hAnsi="Arial" w:eastAsia="Arial" w:cs="Arial"/>
          <w:sz w:val="24"/>
          <w:szCs w:val="24"/>
        </w:rPr>
      </w:pPr>
      <w:bookmarkStart w:name="_Int_eRWDZ8T3" w:id="6"/>
      <w:r w:rsidRPr="60EAF375">
        <w:rPr>
          <w:rFonts w:ascii="Arial" w:hAnsi="Arial" w:eastAsia="Arial" w:cs="Arial"/>
          <w:sz w:val="24"/>
          <w:szCs w:val="24"/>
        </w:rPr>
        <w:t>Asegurar</w:t>
      </w:r>
      <w:bookmarkEnd w:id="6"/>
      <w:r w:rsidRPr="60EAF375">
        <w:rPr>
          <w:rFonts w:ascii="Arial" w:hAnsi="Arial" w:eastAsia="Arial" w:cs="Arial"/>
          <w:sz w:val="24"/>
          <w:szCs w:val="24"/>
        </w:rPr>
        <w:t xml:space="preserve"> que los ofensores transformen su conducta y cesen los actos lesivos.  </w:t>
      </w:r>
    </w:p>
    <w:p w:rsidR="3A6FC807" w:rsidP="60EAF375" w:rsidRDefault="3A6FC807" w14:paraId="3AAFAE8F" w14:textId="5AE4426C">
      <w:pPr>
        <w:shd w:val="clear" w:color="auto" w:fill="FFFFFF" w:themeFill="background1"/>
        <w:spacing w:before="240" w:after="240" w:line="360" w:lineRule="auto"/>
        <w:jc w:val="both"/>
        <w:rPr>
          <w:rFonts w:ascii="Arial" w:hAnsi="Arial" w:eastAsia="Arial" w:cs="Arial"/>
          <w:sz w:val="24"/>
          <w:szCs w:val="24"/>
        </w:rPr>
      </w:pPr>
      <w:bookmarkStart w:name="_Int_t269D3Jx" w:id="7"/>
      <w:r w:rsidRPr="60EAF375">
        <w:rPr>
          <w:rFonts w:ascii="Arial" w:hAnsi="Arial" w:eastAsia="Arial" w:cs="Arial"/>
          <w:sz w:val="24"/>
          <w:szCs w:val="24"/>
        </w:rPr>
        <w:t xml:space="preserve">Aunque se busca cumplir con este plazo, el Programa no está obligado a cerrar los casos en los cinco meses establecidos por la Fiscalía. Si los objetivos restaurativos aún no se han alcanzado al finalizar ese período, el fiscal puede trasladar el escrito de acusación, mientras el programa continúa con las atenciones.  </w:t>
      </w:r>
      <w:bookmarkEnd w:id="7"/>
    </w:p>
    <w:p w:rsidR="3A6FC807" w:rsidP="60EAF375" w:rsidRDefault="3A6FC807" w14:paraId="51145266" w14:textId="6B868C4D">
      <w:pPr>
        <w:pStyle w:val="ListParagraph"/>
        <w:numPr>
          <w:ilvl w:val="0"/>
          <w:numId w:val="8"/>
        </w:numPr>
        <w:shd w:val="clear" w:color="auto" w:fill="FFFFFF" w:themeFill="background1"/>
        <w:spacing w:before="240" w:after="240" w:line="360" w:lineRule="auto"/>
        <w:jc w:val="both"/>
        <w:rPr>
          <w:rFonts w:ascii="Arial" w:hAnsi="Arial" w:eastAsia="Arial" w:cs="Arial"/>
          <w:sz w:val="24"/>
          <w:szCs w:val="24"/>
        </w:rPr>
      </w:pPr>
      <w:r w:rsidRPr="60EAF375">
        <w:rPr>
          <w:rFonts w:ascii="Arial" w:hAnsi="Arial" w:eastAsia="Arial" w:cs="Arial"/>
          <w:b/>
          <w:bCs/>
          <w:sz w:val="24"/>
          <w:szCs w:val="24"/>
        </w:rPr>
        <w:t>Extensión del tiempo de intervención</w:t>
      </w:r>
      <w:r w:rsidRPr="60EAF375" w:rsidR="1F71D575">
        <w:rPr>
          <w:rFonts w:ascii="Arial" w:hAnsi="Arial" w:eastAsia="Arial" w:cs="Arial"/>
          <w:b/>
          <w:bCs/>
          <w:sz w:val="24"/>
          <w:szCs w:val="24"/>
        </w:rPr>
        <w:t xml:space="preserve">: </w:t>
      </w:r>
      <w:r w:rsidRPr="60EAF375" w:rsidR="1F71D575">
        <w:rPr>
          <w:rFonts w:ascii="Arial" w:hAnsi="Arial" w:eastAsia="Arial" w:cs="Arial"/>
          <w:sz w:val="24"/>
          <w:szCs w:val="24"/>
        </w:rPr>
        <w:t>u</w:t>
      </w:r>
      <w:r w:rsidRPr="60EAF375">
        <w:rPr>
          <w:rFonts w:ascii="Arial" w:hAnsi="Arial" w:eastAsia="Arial" w:cs="Arial"/>
          <w:sz w:val="24"/>
          <w:szCs w:val="24"/>
        </w:rPr>
        <w:t xml:space="preserve">na vez trasladado el escrito de acusación, el programa tiene hasta 3 meses y medio adicionales para completar las intervenciones antes de la audiencia de juicio oral, lo que permite un tiempo total de trabajo de hasta 8 meses. Si el caso se cierra antes de la instalación de la audiencia, el fiscal puede optar por:   </w:t>
      </w:r>
    </w:p>
    <w:p w:rsidR="3A6FC807" w:rsidP="60EAF375" w:rsidRDefault="3A6FC807" w14:paraId="47DE81B8" w14:textId="3B2C699A">
      <w:pPr>
        <w:pStyle w:val="ListParagraph"/>
        <w:numPr>
          <w:ilvl w:val="0"/>
          <w:numId w:val="4"/>
        </w:numPr>
        <w:shd w:val="clear" w:color="auto" w:fill="FFFFFF" w:themeFill="background1"/>
        <w:spacing w:before="240" w:after="240" w:line="360" w:lineRule="auto"/>
        <w:jc w:val="both"/>
        <w:rPr>
          <w:rFonts w:ascii="Arial" w:hAnsi="Arial" w:eastAsia="Arial" w:cs="Arial"/>
          <w:sz w:val="24"/>
          <w:szCs w:val="24"/>
        </w:rPr>
      </w:pPr>
      <w:r w:rsidRPr="60EAF375">
        <w:rPr>
          <w:rFonts w:ascii="Arial" w:hAnsi="Arial" w:eastAsia="Arial" w:cs="Arial"/>
          <w:sz w:val="24"/>
          <w:szCs w:val="24"/>
        </w:rPr>
        <w:t xml:space="preserve">Presentar una preclusión.  </w:t>
      </w:r>
    </w:p>
    <w:p w:rsidR="3A6FC807" w:rsidP="60EAF375" w:rsidRDefault="3A6FC807" w14:paraId="37E7BD25" w14:textId="2D0EC01E">
      <w:pPr>
        <w:pStyle w:val="ListParagraph"/>
        <w:numPr>
          <w:ilvl w:val="0"/>
          <w:numId w:val="4"/>
        </w:numPr>
        <w:shd w:val="clear" w:color="auto" w:fill="FFFFFF" w:themeFill="background1"/>
        <w:spacing w:before="240" w:after="240" w:line="360" w:lineRule="auto"/>
        <w:jc w:val="both"/>
        <w:rPr>
          <w:rFonts w:ascii="Arial" w:hAnsi="Arial" w:eastAsia="Arial" w:cs="Arial"/>
          <w:sz w:val="24"/>
          <w:szCs w:val="24"/>
        </w:rPr>
      </w:pPr>
      <w:r w:rsidRPr="60EAF375">
        <w:rPr>
          <w:rFonts w:ascii="Arial" w:hAnsi="Arial" w:eastAsia="Arial" w:cs="Arial"/>
          <w:sz w:val="24"/>
          <w:szCs w:val="24"/>
        </w:rPr>
        <w:t xml:space="preserve">Archivar el caso.  </w:t>
      </w:r>
    </w:p>
    <w:p w:rsidR="3A6FC807" w:rsidP="60EAF375" w:rsidRDefault="3A6FC807" w14:paraId="3E9A8CCD" w14:textId="2F9B6275">
      <w:pPr>
        <w:pStyle w:val="ListParagraph"/>
        <w:numPr>
          <w:ilvl w:val="0"/>
          <w:numId w:val="4"/>
        </w:numPr>
        <w:shd w:val="clear" w:color="auto" w:fill="FFFFFF" w:themeFill="background1"/>
        <w:spacing w:before="240" w:after="240" w:line="360" w:lineRule="auto"/>
        <w:jc w:val="both"/>
        <w:rPr>
          <w:rFonts w:ascii="Arial" w:hAnsi="Arial" w:eastAsia="Arial" w:cs="Arial"/>
          <w:sz w:val="24"/>
          <w:szCs w:val="24"/>
        </w:rPr>
      </w:pPr>
      <w:r w:rsidRPr="60EAF375">
        <w:rPr>
          <w:rFonts w:ascii="Arial" w:hAnsi="Arial" w:eastAsia="Arial" w:cs="Arial"/>
          <w:sz w:val="24"/>
          <w:szCs w:val="24"/>
        </w:rPr>
        <w:t xml:space="preserve">Solicitar un principio de oportunidad en modalidad de renuncia.   </w:t>
      </w:r>
    </w:p>
    <w:p w:rsidR="3A6FC807" w:rsidP="60EAF375" w:rsidRDefault="3A6FC807" w14:paraId="212FCA4D" w14:textId="2A44264B">
      <w:pPr>
        <w:pStyle w:val="ListParagraph"/>
        <w:numPr>
          <w:ilvl w:val="0"/>
          <w:numId w:val="8"/>
        </w:numPr>
        <w:shd w:val="clear" w:color="auto" w:fill="FFFFFF" w:themeFill="background1"/>
        <w:spacing w:before="240" w:after="240" w:line="360" w:lineRule="auto"/>
        <w:jc w:val="both"/>
        <w:rPr>
          <w:rFonts w:ascii="Arial" w:hAnsi="Arial" w:eastAsia="Arial" w:cs="Arial"/>
          <w:sz w:val="24"/>
          <w:szCs w:val="24"/>
        </w:rPr>
      </w:pPr>
      <w:r w:rsidRPr="60EAF375">
        <w:rPr>
          <w:rFonts w:ascii="Arial" w:hAnsi="Arial" w:eastAsia="Arial" w:cs="Arial"/>
          <w:b/>
          <w:bCs/>
          <w:sz w:val="24"/>
          <w:szCs w:val="24"/>
        </w:rPr>
        <w:t>Principio de oportunidad en modalidad de suspensión</w:t>
      </w:r>
      <w:r w:rsidRPr="60EAF375" w:rsidR="2E0B56DA">
        <w:rPr>
          <w:rFonts w:ascii="Arial" w:hAnsi="Arial" w:eastAsia="Arial" w:cs="Arial"/>
          <w:b/>
          <w:bCs/>
          <w:sz w:val="24"/>
          <w:szCs w:val="24"/>
        </w:rPr>
        <w:t xml:space="preserve">: </w:t>
      </w:r>
      <w:r w:rsidRPr="60EAF375" w:rsidR="2E0B56DA">
        <w:rPr>
          <w:rFonts w:ascii="Arial" w:hAnsi="Arial" w:eastAsia="Arial" w:cs="Arial"/>
          <w:sz w:val="24"/>
          <w:szCs w:val="24"/>
        </w:rPr>
        <w:t>e</w:t>
      </w:r>
      <w:r w:rsidRPr="60EAF375">
        <w:rPr>
          <w:rFonts w:ascii="Arial" w:hAnsi="Arial" w:eastAsia="Arial" w:cs="Arial"/>
          <w:sz w:val="24"/>
          <w:szCs w:val="24"/>
        </w:rPr>
        <w:t xml:space="preserve">n casos donde la atención requiera más tiempo, debido a factores de riesgo o exigencias específicas, el programa puede recomendar al fiscal que solicite un principio de oportunidad en modalidad de suspensión. Este mecanismo permite interrumpir los términos procesales y utilizar el tiempo de suspensión, que puede extenderse hasta 3 años, para completar las intervenciones necesarias y garantizar una atención adecuada.  </w:t>
      </w:r>
    </w:p>
    <w:p w:rsidR="3A6FC807" w:rsidP="60EAF375" w:rsidRDefault="3A6FC807" w14:paraId="233ED612" w14:textId="1E29BD09">
      <w:pPr>
        <w:shd w:val="clear" w:color="auto" w:fill="FFFFFF" w:themeFill="background1"/>
        <w:spacing w:before="240" w:after="240" w:line="360" w:lineRule="auto"/>
        <w:jc w:val="both"/>
        <w:rPr>
          <w:rFonts w:ascii="Arial" w:hAnsi="Arial" w:eastAsia="Arial" w:cs="Arial"/>
          <w:sz w:val="24"/>
          <w:szCs w:val="24"/>
        </w:rPr>
      </w:pPr>
      <w:r w:rsidRPr="60EAF375">
        <w:rPr>
          <w:rFonts w:ascii="Arial" w:hAnsi="Arial" w:eastAsia="Arial" w:cs="Arial"/>
          <w:sz w:val="24"/>
          <w:szCs w:val="24"/>
        </w:rPr>
        <w:t xml:space="preserve"> </w:t>
      </w:r>
    </w:p>
    <w:p w:rsidR="3A6FC807" w:rsidP="60EAF375" w:rsidRDefault="3A6FC807" w14:paraId="11A76C99" w14:textId="2025B4F2">
      <w:pPr>
        <w:shd w:val="clear" w:color="auto" w:fill="FFFFFF" w:themeFill="background1"/>
        <w:spacing w:before="240" w:after="240" w:line="360" w:lineRule="auto"/>
        <w:jc w:val="both"/>
        <w:rPr>
          <w:rFonts w:ascii="Arial" w:hAnsi="Arial" w:eastAsia="Arial" w:cs="Arial"/>
          <w:sz w:val="24"/>
          <w:szCs w:val="24"/>
        </w:rPr>
      </w:pPr>
      <w:r w:rsidRPr="60EAF375">
        <w:rPr>
          <w:rFonts w:ascii="Arial" w:hAnsi="Arial" w:eastAsia="Arial" w:cs="Arial"/>
          <w:b/>
          <w:bCs/>
          <w:sz w:val="24"/>
          <w:szCs w:val="24"/>
        </w:rPr>
        <w:t>Naturaleza de los procesos en la jurisdicción de familia</w:t>
      </w:r>
      <w:r w:rsidRPr="60EAF375">
        <w:rPr>
          <w:rFonts w:ascii="Arial" w:hAnsi="Arial" w:eastAsia="Arial" w:cs="Arial"/>
          <w:sz w:val="24"/>
          <w:szCs w:val="24"/>
        </w:rPr>
        <w:t xml:space="preserve">  </w:t>
      </w:r>
    </w:p>
    <w:p w:rsidR="3A6FC807" w:rsidP="60EAF375" w:rsidRDefault="3A6FC807" w14:paraId="43313A7C" w14:textId="118B04E3">
      <w:pPr>
        <w:spacing w:line="360" w:lineRule="auto"/>
        <w:jc w:val="both"/>
        <w:rPr>
          <w:rFonts w:ascii="Arial" w:hAnsi="Arial" w:eastAsia="Arial" w:cs="Arial"/>
          <w:sz w:val="24"/>
          <w:szCs w:val="24"/>
        </w:rPr>
      </w:pPr>
      <w:bookmarkStart w:name="_Int_RIQ73Oij" w:id="8"/>
      <w:r w:rsidRPr="60EAF375">
        <w:rPr>
          <w:rFonts w:ascii="Arial" w:hAnsi="Arial" w:eastAsia="Arial" w:cs="Arial"/>
          <w:sz w:val="24"/>
          <w:szCs w:val="24"/>
        </w:rPr>
        <w:t xml:space="preserve">En el ámbito de la jurisdicción de familia, los casos se enmarcan en el derecho civil, no penal. Esto implica que no siempre se trata de hechos constitutivos de delito, sino de conflictos relacionados con relaciones familiares que requieren resolución judicial. Estos casos suelen girar en torno a intereses específicos o necesidades de justicia expresadas por una de las partes, sin que necesariamente haya una afectación jurídica a derechos o integridad de otros.  </w:t>
      </w:r>
      <w:bookmarkEnd w:id="8"/>
    </w:p>
    <w:p w:rsidR="3A6FC807" w:rsidP="60EAF375" w:rsidRDefault="3A6FC807" w14:paraId="230269F6" w14:textId="4F97EC84">
      <w:pPr>
        <w:spacing w:line="360" w:lineRule="auto"/>
        <w:jc w:val="both"/>
        <w:rPr>
          <w:rFonts w:ascii="Arial" w:hAnsi="Arial" w:eastAsia="Arial" w:cs="Arial"/>
          <w:sz w:val="24"/>
          <w:szCs w:val="24"/>
        </w:rPr>
      </w:pPr>
      <w:r w:rsidRPr="60EAF375">
        <w:rPr>
          <w:rFonts w:ascii="Arial" w:hAnsi="Arial" w:eastAsia="Arial" w:cs="Arial"/>
          <w:sz w:val="24"/>
          <w:szCs w:val="24"/>
        </w:rPr>
        <w:t xml:space="preserve">En este contexto, se habla de demandas y no de denuncias. El proceso inicia cuando una de las partes radica una demanda ante un juez de familia, quien procede a trasladar la demanda a la parte demandada, informándole sobre las pretensiones del caso, como el cumplimiento de obligaciones, el cese de ciertos actos o el pago de una suma de dinero. La persona demandada tiene la oportunidad de contestar la demanda, presentando sus argumentos o defensa.  </w:t>
      </w:r>
    </w:p>
    <w:p w:rsidR="3A6FC807" w:rsidP="60EAF375" w:rsidRDefault="3A6FC807" w14:paraId="2A21A396" w14:textId="2F456804">
      <w:pPr>
        <w:spacing w:line="360" w:lineRule="auto"/>
        <w:jc w:val="both"/>
        <w:rPr>
          <w:rFonts w:ascii="Arial" w:hAnsi="Arial" w:eastAsia="Arial" w:cs="Arial"/>
          <w:sz w:val="24"/>
          <w:szCs w:val="24"/>
        </w:rPr>
      </w:pPr>
      <w:r w:rsidRPr="60EAF375">
        <w:rPr>
          <w:rFonts w:ascii="Arial" w:hAnsi="Arial" w:eastAsia="Arial" w:cs="Arial"/>
          <w:sz w:val="24"/>
          <w:szCs w:val="24"/>
        </w:rPr>
        <w:t xml:space="preserve"> </w:t>
      </w:r>
    </w:p>
    <w:p w:rsidR="3A6FC807" w:rsidP="60EAF375" w:rsidRDefault="3A6FC807" w14:paraId="2C6EE747" w14:textId="70FC0ED3">
      <w:pPr>
        <w:spacing w:line="360" w:lineRule="auto"/>
        <w:jc w:val="both"/>
        <w:rPr>
          <w:rFonts w:ascii="Arial" w:hAnsi="Arial" w:eastAsia="Arial" w:cs="Arial"/>
          <w:sz w:val="24"/>
          <w:szCs w:val="24"/>
        </w:rPr>
      </w:pPr>
      <w:r w:rsidRPr="60EAF375">
        <w:rPr>
          <w:rFonts w:ascii="Arial" w:hAnsi="Arial" w:eastAsia="Arial" w:cs="Arial"/>
          <w:sz w:val="24"/>
          <w:szCs w:val="24"/>
        </w:rPr>
        <w:t xml:space="preserve"> </w:t>
      </w:r>
    </w:p>
    <w:p w:rsidR="3A6FC807" w:rsidP="60EAF375" w:rsidRDefault="3A6FC807" w14:paraId="4D14A581" w14:textId="7070239A">
      <w:pPr>
        <w:spacing w:line="360" w:lineRule="auto"/>
        <w:jc w:val="both"/>
        <w:rPr>
          <w:rFonts w:ascii="Arial" w:hAnsi="Arial" w:eastAsia="Arial" w:cs="Arial"/>
          <w:sz w:val="24"/>
          <w:szCs w:val="24"/>
        </w:rPr>
      </w:pPr>
      <w:r w:rsidRPr="60EAF375">
        <w:rPr>
          <w:rFonts w:ascii="Arial" w:hAnsi="Arial" w:eastAsia="Arial" w:cs="Arial"/>
          <w:b/>
          <w:bCs/>
          <w:sz w:val="24"/>
          <w:szCs w:val="24"/>
        </w:rPr>
        <w:t>Mecanismos procesales en la jurisdicción de familia</w:t>
      </w:r>
      <w:r w:rsidRPr="60EAF375" w:rsidR="33EA9394">
        <w:rPr>
          <w:rFonts w:ascii="Arial" w:hAnsi="Arial" w:eastAsia="Arial" w:cs="Arial"/>
          <w:b/>
          <w:bCs/>
          <w:sz w:val="24"/>
          <w:szCs w:val="24"/>
        </w:rPr>
        <w:t xml:space="preserve">: </w:t>
      </w:r>
      <w:r w:rsidRPr="60EAF375" w:rsidR="33EA9394">
        <w:rPr>
          <w:rFonts w:ascii="Arial" w:hAnsi="Arial" w:eastAsia="Arial" w:cs="Arial"/>
          <w:sz w:val="24"/>
          <w:szCs w:val="24"/>
        </w:rPr>
        <w:t>d</w:t>
      </w:r>
      <w:r w:rsidRPr="60EAF375">
        <w:rPr>
          <w:rFonts w:ascii="Arial" w:hAnsi="Arial" w:eastAsia="Arial" w:cs="Arial"/>
          <w:sz w:val="24"/>
          <w:szCs w:val="24"/>
        </w:rPr>
        <w:t xml:space="preserve">entro de los procesos en esta jurisdicción, se contemplan los siguientes mecanismos procesales:   </w:t>
      </w:r>
    </w:p>
    <w:p w:rsidR="3A6FC807" w:rsidP="60EAF375" w:rsidRDefault="3A6FC807" w14:paraId="5F7C0A6B" w14:textId="0480F5EE">
      <w:pPr>
        <w:spacing w:line="360" w:lineRule="auto"/>
        <w:ind w:left="708"/>
        <w:jc w:val="both"/>
        <w:rPr>
          <w:rFonts w:ascii="Arial" w:hAnsi="Arial" w:eastAsia="Arial" w:cs="Arial"/>
          <w:sz w:val="24"/>
          <w:szCs w:val="24"/>
        </w:rPr>
      </w:pPr>
      <w:r w:rsidRPr="60EAF375">
        <w:rPr>
          <w:rFonts w:ascii="Arial" w:hAnsi="Arial" w:eastAsia="Arial" w:cs="Arial"/>
          <w:b/>
          <w:bCs/>
          <w:sz w:val="24"/>
          <w:szCs w:val="24"/>
        </w:rPr>
        <w:t>1. Conciliación extrajudicial:</w:t>
      </w:r>
      <w:r w:rsidRPr="60EAF375" w:rsidR="57E89687">
        <w:rPr>
          <w:rFonts w:ascii="Arial" w:hAnsi="Arial" w:eastAsia="Arial" w:cs="Arial"/>
          <w:b/>
          <w:bCs/>
          <w:sz w:val="24"/>
          <w:szCs w:val="24"/>
        </w:rPr>
        <w:t xml:space="preserve"> </w:t>
      </w:r>
      <w:r w:rsidRPr="60EAF375" w:rsidR="57E89687">
        <w:rPr>
          <w:rFonts w:ascii="Arial" w:hAnsi="Arial" w:eastAsia="Arial" w:cs="Arial"/>
          <w:sz w:val="24"/>
          <w:szCs w:val="24"/>
        </w:rPr>
        <w:t>a</w:t>
      </w:r>
      <w:r w:rsidRPr="60EAF375">
        <w:rPr>
          <w:rFonts w:ascii="Arial" w:hAnsi="Arial" w:eastAsia="Arial" w:cs="Arial"/>
          <w:sz w:val="24"/>
          <w:szCs w:val="24"/>
        </w:rPr>
        <w:t xml:space="preserve">ntes de que el proceso avance significativamente, las partes pueden llegar a un acuerdo conciliatorio fuera del ámbito judicial, cerrando el caso antes de llegar a la audiencia de juicio oral.   </w:t>
      </w:r>
    </w:p>
    <w:p w:rsidR="3A6FC807" w:rsidP="60EAF375" w:rsidRDefault="3A6FC807" w14:paraId="6C470EA1" w14:textId="58D20963">
      <w:pPr>
        <w:spacing w:line="360" w:lineRule="auto"/>
        <w:ind w:left="708"/>
        <w:jc w:val="both"/>
        <w:rPr>
          <w:rFonts w:ascii="Arial" w:hAnsi="Arial" w:eastAsia="Arial" w:cs="Arial"/>
          <w:sz w:val="24"/>
          <w:szCs w:val="24"/>
        </w:rPr>
      </w:pPr>
      <w:r w:rsidRPr="60EAF375">
        <w:rPr>
          <w:rFonts w:ascii="Arial" w:hAnsi="Arial" w:eastAsia="Arial" w:cs="Arial"/>
          <w:b/>
          <w:bCs/>
          <w:sz w:val="24"/>
          <w:szCs w:val="24"/>
        </w:rPr>
        <w:t>2. Conciliación judicial:</w:t>
      </w:r>
      <w:r w:rsidRPr="60EAF375">
        <w:rPr>
          <w:rFonts w:ascii="Arial" w:hAnsi="Arial" w:eastAsia="Arial" w:cs="Arial"/>
          <w:sz w:val="24"/>
          <w:szCs w:val="24"/>
        </w:rPr>
        <w:t xml:space="preserve"> </w:t>
      </w:r>
      <w:r w:rsidRPr="60EAF375" w:rsidR="0E34E869">
        <w:rPr>
          <w:rFonts w:ascii="Arial" w:hAnsi="Arial" w:eastAsia="Arial" w:cs="Arial"/>
          <w:sz w:val="24"/>
          <w:szCs w:val="24"/>
        </w:rPr>
        <w:t>s</w:t>
      </w:r>
      <w:r w:rsidRPr="60EAF375">
        <w:rPr>
          <w:rFonts w:ascii="Arial" w:hAnsi="Arial" w:eastAsia="Arial" w:cs="Arial"/>
          <w:sz w:val="24"/>
          <w:szCs w:val="24"/>
        </w:rPr>
        <w:t xml:space="preserve">i el proceso ya ha iniciado formalmente, el juez puede incorporar un acuerdo restaurativo alcanzado durante el juicio, siempre que esto ocurra antes de dictar sentencia.  </w:t>
      </w:r>
    </w:p>
    <w:p w:rsidR="3A6FC807" w:rsidP="60EAF375" w:rsidRDefault="3A6FC807" w14:paraId="49B9E042" w14:textId="686B6DD1" w14:noSpellErr="1">
      <w:pPr>
        <w:spacing w:line="360" w:lineRule="auto"/>
        <w:jc w:val="both"/>
        <w:rPr>
          <w:rFonts w:ascii="Arial" w:hAnsi="Arial" w:eastAsia="Arial" w:cs="Arial"/>
          <w:sz w:val="24"/>
          <w:szCs w:val="24"/>
        </w:rPr>
      </w:pPr>
      <w:r w:rsidRPr="608D2E7E" w:rsidR="3A6FC807">
        <w:rPr>
          <w:rFonts w:ascii="Arial" w:hAnsi="Arial" w:eastAsia="Arial" w:cs="Arial"/>
          <w:sz w:val="24"/>
          <w:szCs w:val="24"/>
        </w:rPr>
        <w:t xml:space="preserve">Ambos mecanismos buscan resolver el conflicto de manera restaurativa y eficiente, adaptándose al momento procesal en que se encuentren.  </w:t>
      </w:r>
    </w:p>
    <w:p w:rsidR="3A6FC807" w:rsidP="60EAF375" w:rsidRDefault="3A6FC807" w14:paraId="0ED2789A" w14:textId="3519F505">
      <w:pPr>
        <w:spacing w:line="360" w:lineRule="auto"/>
        <w:jc w:val="both"/>
        <w:rPr>
          <w:rFonts w:ascii="Arial" w:hAnsi="Arial" w:eastAsia="Arial" w:cs="Arial"/>
          <w:sz w:val="24"/>
          <w:szCs w:val="24"/>
        </w:rPr>
      </w:pPr>
      <w:r w:rsidRPr="60EAF375">
        <w:rPr>
          <w:rFonts w:ascii="Arial" w:hAnsi="Arial" w:eastAsia="Arial" w:cs="Arial"/>
          <w:sz w:val="24"/>
          <w:szCs w:val="24"/>
        </w:rPr>
        <w:t xml:space="preserve"> </w:t>
      </w:r>
    </w:p>
    <w:p w:rsidR="3A6FC807" w:rsidP="60EAF375" w:rsidRDefault="3A6FC807" w14:paraId="57601BF7" w14:textId="17ACB588">
      <w:pPr>
        <w:spacing w:line="360" w:lineRule="auto"/>
        <w:jc w:val="both"/>
        <w:rPr>
          <w:rFonts w:ascii="Arial" w:hAnsi="Arial" w:eastAsia="Arial" w:cs="Arial"/>
          <w:sz w:val="24"/>
          <w:szCs w:val="24"/>
        </w:rPr>
      </w:pPr>
      <w:r w:rsidRPr="60EAF375">
        <w:rPr>
          <w:rFonts w:ascii="Arial" w:hAnsi="Arial" w:eastAsia="Arial" w:cs="Arial"/>
          <w:b/>
          <w:bCs/>
          <w:sz w:val="24"/>
          <w:szCs w:val="24"/>
        </w:rPr>
        <w:t>Modelo de Justicia Administrativa en Comisarías de Familia</w:t>
      </w:r>
      <w:r w:rsidRPr="60EAF375" w:rsidR="2DA2419D">
        <w:rPr>
          <w:rFonts w:ascii="Arial" w:hAnsi="Arial" w:eastAsia="Arial" w:cs="Arial"/>
          <w:b/>
          <w:bCs/>
          <w:sz w:val="24"/>
          <w:szCs w:val="24"/>
        </w:rPr>
        <w:t xml:space="preserve">: </w:t>
      </w:r>
      <w:r w:rsidRPr="60EAF375" w:rsidR="2DA2419D">
        <w:rPr>
          <w:rFonts w:ascii="Arial" w:hAnsi="Arial" w:eastAsia="Arial" w:cs="Arial"/>
          <w:sz w:val="24"/>
          <w:szCs w:val="24"/>
        </w:rPr>
        <w:t>e</w:t>
      </w:r>
      <w:r w:rsidRPr="60EAF375">
        <w:rPr>
          <w:rFonts w:ascii="Arial" w:hAnsi="Arial" w:eastAsia="Arial" w:cs="Arial"/>
          <w:sz w:val="24"/>
          <w:szCs w:val="24"/>
        </w:rPr>
        <w:t xml:space="preserve">n el contexto de las comisarías de familia, los casos relacionados con violencia intrafamiliar cuentan con tres posibles puntos de ingreso al programa:  </w:t>
      </w:r>
    </w:p>
    <w:p w:rsidR="3A6FC807" w:rsidP="60EAF375" w:rsidRDefault="3A6FC807" w14:paraId="5ABCC337" w14:textId="039B30C0">
      <w:pPr>
        <w:spacing w:line="360" w:lineRule="auto"/>
        <w:ind w:firstLine="708"/>
        <w:jc w:val="both"/>
        <w:rPr>
          <w:rFonts w:ascii="Arial" w:hAnsi="Arial" w:eastAsia="Arial" w:cs="Arial"/>
          <w:sz w:val="24"/>
          <w:szCs w:val="24"/>
        </w:rPr>
      </w:pPr>
      <w:r w:rsidRPr="60EAF375">
        <w:rPr>
          <w:rFonts w:ascii="Arial" w:hAnsi="Arial" w:eastAsia="Arial" w:cs="Arial"/>
          <w:sz w:val="24"/>
          <w:szCs w:val="24"/>
        </w:rPr>
        <w:t>1. Auto de medidas provisionales:  Cuando el comisario emite medidas iniciales</w:t>
      </w:r>
      <w:r w:rsidRPr="60EAF375" w:rsidR="2D55AB5D">
        <w:rPr>
          <w:rFonts w:ascii="Arial" w:hAnsi="Arial" w:eastAsia="Arial" w:cs="Arial"/>
          <w:sz w:val="24"/>
          <w:szCs w:val="24"/>
        </w:rPr>
        <w:t xml:space="preserve"> </w:t>
      </w:r>
      <w:r>
        <w:tab/>
      </w:r>
      <w:r w:rsidRPr="60EAF375">
        <w:rPr>
          <w:rFonts w:ascii="Arial" w:hAnsi="Arial" w:eastAsia="Arial" w:cs="Arial"/>
          <w:sz w:val="24"/>
          <w:szCs w:val="24"/>
        </w:rPr>
        <w:t xml:space="preserve">para proteger a las víctimas.  </w:t>
      </w:r>
    </w:p>
    <w:p w:rsidR="3A6FC807" w:rsidP="60EAF375" w:rsidRDefault="3A6FC807" w14:paraId="4BADD240" w14:textId="7C7765ED">
      <w:pPr>
        <w:spacing w:line="360" w:lineRule="auto"/>
        <w:ind w:left="708"/>
        <w:jc w:val="both"/>
        <w:rPr>
          <w:rFonts w:ascii="Arial" w:hAnsi="Arial" w:eastAsia="Arial" w:cs="Arial"/>
          <w:sz w:val="24"/>
          <w:szCs w:val="24"/>
        </w:rPr>
      </w:pPr>
      <w:r w:rsidRPr="60EAF375">
        <w:rPr>
          <w:rFonts w:ascii="Arial" w:hAnsi="Arial" w:eastAsia="Arial" w:cs="Arial"/>
          <w:sz w:val="24"/>
          <w:szCs w:val="24"/>
        </w:rPr>
        <w:t xml:space="preserve">2. Sentencia de medidas definitivas: Decisión final del comisario que establece medidas de protección permanentes.  </w:t>
      </w:r>
    </w:p>
    <w:p w:rsidR="3A6FC807" w:rsidP="60EAF375" w:rsidRDefault="3A6FC807" w14:paraId="7B1AA5B7" w14:textId="48E8EE71">
      <w:pPr>
        <w:spacing w:line="360" w:lineRule="auto"/>
        <w:ind w:left="708"/>
        <w:jc w:val="both"/>
        <w:rPr>
          <w:rFonts w:ascii="Arial" w:hAnsi="Arial" w:eastAsia="Arial" w:cs="Arial"/>
          <w:sz w:val="24"/>
          <w:szCs w:val="24"/>
        </w:rPr>
      </w:pPr>
      <w:r w:rsidRPr="60EAF375">
        <w:rPr>
          <w:rFonts w:ascii="Arial" w:hAnsi="Arial" w:eastAsia="Arial" w:cs="Arial"/>
          <w:sz w:val="24"/>
          <w:szCs w:val="24"/>
        </w:rPr>
        <w:t xml:space="preserve">3. Seguimiento de las medidas: Las comisarías realizan un seguimiento interno de las medidas durante un término de seis meses, aunque estas no pierden vigencia con el tiempo.  </w:t>
      </w:r>
    </w:p>
    <w:p w:rsidR="3A6FC807" w:rsidP="60EAF375" w:rsidRDefault="3A6FC807" w14:paraId="2B5D7046" w14:textId="03648535">
      <w:pPr>
        <w:spacing w:line="360" w:lineRule="auto"/>
        <w:jc w:val="both"/>
        <w:rPr>
          <w:rFonts w:ascii="Arial" w:hAnsi="Arial" w:eastAsia="Arial" w:cs="Arial"/>
          <w:sz w:val="24"/>
          <w:szCs w:val="24"/>
        </w:rPr>
      </w:pPr>
      <w:r w:rsidRPr="60EAF375">
        <w:rPr>
          <w:rFonts w:ascii="Arial" w:hAnsi="Arial" w:eastAsia="Arial" w:cs="Arial"/>
          <w:sz w:val="24"/>
          <w:szCs w:val="24"/>
        </w:rPr>
        <w:t xml:space="preserve"> </w:t>
      </w:r>
    </w:p>
    <w:p w:rsidR="3A6FC807" w:rsidP="60EAF375" w:rsidRDefault="3A6FC807" w14:paraId="229709C2" w14:textId="15C68D30" w14:noSpellErr="1">
      <w:pPr>
        <w:spacing w:line="360" w:lineRule="auto"/>
        <w:jc w:val="both"/>
        <w:rPr>
          <w:rFonts w:ascii="Arial" w:hAnsi="Arial" w:eastAsia="Arial" w:cs="Arial"/>
          <w:sz w:val="24"/>
          <w:szCs w:val="24"/>
        </w:rPr>
      </w:pPr>
      <w:r w:rsidRPr="608D2E7E" w:rsidR="3A6FC807">
        <w:rPr>
          <w:rFonts w:ascii="Arial" w:hAnsi="Arial" w:eastAsia="Arial" w:cs="Arial"/>
          <w:sz w:val="24"/>
          <w:szCs w:val="24"/>
        </w:rPr>
        <w:t xml:space="preserve">En cualquier momento, incluso años después, se puede solicitar el seguimiento si se identifican nuevos hechos de violencia o incumplimientos.  </w:t>
      </w:r>
    </w:p>
    <w:p w:rsidR="3A6FC807" w:rsidP="60EAF375" w:rsidRDefault="3A6FC807" w14:paraId="0097EDBD" w14:textId="4EA845B5">
      <w:pPr>
        <w:spacing w:line="360" w:lineRule="auto"/>
        <w:jc w:val="both"/>
        <w:rPr>
          <w:rFonts w:ascii="Arial" w:hAnsi="Arial" w:eastAsia="Arial" w:cs="Arial"/>
          <w:sz w:val="24"/>
          <w:szCs w:val="24"/>
        </w:rPr>
      </w:pPr>
      <w:r w:rsidRPr="60EAF375">
        <w:rPr>
          <w:rFonts w:ascii="Arial" w:hAnsi="Arial" w:eastAsia="Arial" w:cs="Arial"/>
          <w:sz w:val="24"/>
          <w:szCs w:val="24"/>
        </w:rPr>
        <w:t xml:space="preserve"> </w:t>
      </w:r>
    </w:p>
    <w:p w:rsidR="3A6FC807" w:rsidP="60EAF375" w:rsidRDefault="3A6FC807" w14:paraId="15222E46" w14:textId="0CDF05BE">
      <w:pPr>
        <w:spacing w:line="360" w:lineRule="auto"/>
        <w:jc w:val="both"/>
        <w:rPr>
          <w:rFonts w:ascii="Arial" w:hAnsi="Arial" w:eastAsia="Arial" w:cs="Arial"/>
          <w:sz w:val="24"/>
          <w:szCs w:val="24"/>
        </w:rPr>
      </w:pPr>
      <w:r w:rsidRPr="60EAF375">
        <w:rPr>
          <w:rFonts w:ascii="Arial" w:hAnsi="Arial" w:eastAsia="Arial" w:cs="Arial"/>
          <w:b/>
          <w:bCs/>
          <w:sz w:val="24"/>
          <w:szCs w:val="24"/>
        </w:rPr>
        <w:t>Proceso de remisión al programa</w:t>
      </w:r>
      <w:r w:rsidRPr="60EAF375" w:rsidR="6677C85C">
        <w:rPr>
          <w:rFonts w:ascii="Arial" w:hAnsi="Arial" w:eastAsia="Arial" w:cs="Arial"/>
          <w:b/>
          <w:bCs/>
          <w:sz w:val="24"/>
          <w:szCs w:val="24"/>
        </w:rPr>
        <w:t>: l</w:t>
      </w:r>
      <w:r w:rsidRPr="60EAF375">
        <w:rPr>
          <w:rFonts w:ascii="Arial" w:hAnsi="Arial" w:eastAsia="Arial" w:cs="Arial"/>
          <w:sz w:val="24"/>
          <w:szCs w:val="24"/>
        </w:rPr>
        <w:t xml:space="preserve">a remisión al programa puede darse en cualquiera de las tres etapas mencionadas:  </w:t>
      </w:r>
    </w:p>
    <w:p w:rsidR="3A6FC807" w:rsidP="60EAF375" w:rsidRDefault="3A6FC807" w14:paraId="7CF225E6" w14:textId="40F86DF0">
      <w:pPr>
        <w:pStyle w:val="ListParagraph"/>
        <w:numPr>
          <w:ilvl w:val="0"/>
          <w:numId w:val="3"/>
        </w:numPr>
        <w:spacing w:line="360" w:lineRule="auto"/>
        <w:jc w:val="both"/>
        <w:rPr>
          <w:rFonts w:ascii="Arial" w:hAnsi="Arial" w:eastAsia="Arial" w:cs="Arial"/>
          <w:sz w:val="24"/>
          <w:szCs w:val="24"/>
        </w:rPr>
      </w:pPr>
      <w:r w:rsidRPr="60EAF375">
        <w:rPr>
          <w:rFonts w:ascii="Arial" w:hAnsi="Arial" w:eastAsia="Arial" w:cs="Arial"/>
          <w:sz w:val="24"/>
          <w:szCs w:val="24"/>
        </w:rPr>
        <w:t xml:space="preserve">Medidas provisionales o definitivas: El caso ingresa directamente al equipo de atención, pues ya existe una orden judicial o administrativa que lo respalda. No es necesario someterlo a preselección.  </w:t>
      </w:r>
    </w:p>
    <w:p w:rsidR="3A6FC807" w:rsidP="60EAF375" w:rsidRDefault="3A6FC807" w14:paraId="7D82FC39" w14:textId="2C066221">
      <w:pPr>
        <w:pStyle w:val="ListParagraph"/>
        <w:numPr>
          <w:ilvl w:val="0"/>
          <w:numId w:val="3"/>
        </w:numPr>
        <w:spacing w:line="360" w:lineRule="auto"/>
        <w:jc w:val="both"/>
        <w:rPr>
          <w:rFonts w:ascii="Arial" w:hAnsi="Arial" w:eastAsia="Arial" w:cs="Arial"/>
          <w:sz w:val="24"/>
          <w:szCs w:val="24"/>
        </w:rPr>
      </w:pPr>
      <w:r w:rsidRPr="60EAF375">
        <w:rPr>
          <w:rFonts w:ascii="Arial" w:hAnsi="Arial" w:eastAsia="Arial" w:cs="Arial"/>
          <w:sz w:val="24"/>
          <w:szCs w:val="24"/>
        </w:rPr>
        <w:t xml:space="preserve">Solicitud de acompañamiento para el seguimiento: En este caso, el programa evalúa el caso en el Comité de Estudio, revisando las decisiones y actuaciones previas, y procede a asignar un equipo para la intervención.  </w:t>
      </w:r>
    </w:p>
    <w:p w:rsidR="56A33683" w:rsidP="60EAF375" w:rsidRDefault="56A33683" w14:paraId="57CDF321" w14:textId="700189A0">
      <w:pPr>
        <w:spacing w:line="360" w:lineRule="auto"/>
        <w:jc w:val="both"/>
        <w:rPr>
          <w:rFonts w:ascii="Arial" w:hAnsi="Arial" w:eastAsia="Arial" w:cs="Arial"/>
          <w:sz w:val="24"/>
          <w:szCs w:val="24"/>
        </w:rPr>
      </w:pPr>
      <w:r w:rsidRPr="60EAF375">
        <w:rPr>
          <w:rFonts w:ascii="Arial" w:hAnsi="Arial" w:eastAsia="Arial" w:cs="Arial"/>
          <w:b/>
          <w:bCs/>
          <w:sz w:val="24"/>
          <w:szCs w:val="24"/>
        </w:rPr>
        <w:t xml:space="preserve">Remisión al Programa: </w:t>
      </w:r>
      <w:r w:rsidRPr="60EAF375">
        <w:rPr>
          <w:rFonts w:ascii="Arial" w:hAnsi="Arial" w:eastAsia="Arial" w:cs="Arial"/>
          <w:sz w:val="24"/>
          <w:szCs w:val="24"/>
        </w:rPr>
        <w:t xml:space="preserve">durante este proceso inicial, el juez puede remitir el caso al Programa de Justicia Restaurativa como parte de una postulación inicial. Esto conlleva: </w:t>
      </w:r>
    </w:p>
    <w:p w:rsidR="56A33683" w:rsidP="60EAF375" w:rsidRDefault="56A33683" w14:paraId="09DB3EBD" w14:textId="0C63CCEC">
      <w:pPr>
        <w:spacing w:line="360" w:lineRule="auto"/>
        <w:ind w:left="708"/>
        <w:jc w:val="both"/>
        <w:rPr>
          <w:rFonts w:ascii="Arial" w:hAnsi="Arial" w:eastAsia="Arial" w:cs="Arial"/>
          <w:sz w:val="24"/>
          <w:szCs w:val="24"/>
        </w:rPr>
      </w:pPr>
      <w:r w:rsidRPr="60EAF375">
        <w:rPr>
          <w:rFonts w:ascii="Arial" w:hAnsi="Arial" w:eastAsia="Arial" w:cs="Arial"/>
          <w:sz w:val="24"/>
          <w:szCs w:val="24"/>
        </w:rPr>
        <w:t xml:space="preserve">1. Estudio del caso, donde se evalúan las características del conflicto.  </w:t>
      </w:r>
    </w:p>
    <w:p w:rsidR="56A33683" w:rsidP="60EAF375" w:rsidRDefault="56A33683" w14:paraId="3E543A93" w14:textId="1104D984">
      <w:pPr>
        <w:spacing w:line="360" w:lineRule="auto"/>
        <w:ind w:left="708"/>
        <w:jc w:val="both"/>
        <w:rPr>
          <w:rFonts w:ascii="Arial" w:hAnsi="Arial" w:eastAsia="Arial" w:cs="Arial"/>
          <w:sz w:val="24"/>
          <w:szCs w:val="24"/>
        </w:rPr>
      </w:pPr>
      <w:r w:rsidRPr="60EAF375">
        <w:rPr>
          <w:rFonts w:ascii="Arial" w:hAnsi="Arial" w:eastAsia="Arial" w:cs="Arial"/>
          <w:sz w:val="24"/>
          <w:szCs w:val="24"/>
        </w:rPr>
        <w:t xml:space="preserve">2. Firma de compromisos entre las partes.  </w:t>
      </w:r>
    </w:p>
    <w:p w:rsidR="56A33683" w:rsidP="60EAF375" w:rsidRDefault="56A33683" w14:paraId="44B3DB72" w14:textId="53B4FB1A">
      <w:pPr>
        <w:spacing w:line="360" w:lineRule="auto"/>
        <w:ind w:left="708"/>
        <w:jc w:val="both"/>
        <w:rPr>
          <w:rFonts w:ascii="Arial" w:hAnsi="Arial" w:eastAsia="Arial" w:cs="Arial"/>
          <w:sz w:val="24"/>
          <w:szCs w:val="24"/>
        </w:rPr>
      </w:pPr>
      <w:r w:rsidRPr="60EAF375">
        <w:rPr>
          <w:rFonts w:ascii="Arial" w:hAnsi="Arial" w:eastAsia="Arial" w:cs="Arial"/>
          <w:sz w:val="24"/>
          <w:szCs w:val="24"/>
        </w:rPr>
        <w:t xml:space="preserve">3. Inicio del proceso de atención, incluyendo una articulación con otras instancias, como las comisarías de familia, en situaciones donde concurren procesos administrativos y judiciales relacionados.  </w:t>
      </w:r>
    </w:p>
    <w:p w:rsidR="60EAF375" w:rsidP="60EAF375" w:rsidRDefault="60EAF375" w14:paraId="358FFFED" w14:textId="29A0599E">
      <w:pPr>
        <w:shd w:val="clear" w:color="auto" w:fill="FFFFFF" w:themeFill="background1"/>
        <w:spacing w:before="240" w:after="240" w:line="360" w:lineRule="auto"/>
        <w:ind w:right="1200"/>
        <w:jc w:val="both"/>
        <w:rPr>
          <w:rFonts w:ascii="Arial" w:hAnsi="Arial" w:eastAsia="Arial" w:cs="Arial"/>
          <w:sz w:val="24"/>
          <w:szCs w:val="24"/>
        </w:rPr>
      </w:pPr>
    </w:p>
    <w:p w:rsidR="5CA02D7A" w:rsidP="60EAF375" w:rsidRDefault="5CA02D7A" w14:paraId="3375637F" w14:textId="775B3505" w14:noSpellErr="1">
      <w:pPr>
        <w:shd w:val="clear" w:color="auto" w:fill="FFFFFF" w:themeFill="background1"/>
        <w:spacing w:before="240" w:after="240" w:line="360" w:lineRule="auto"/>
        <w:ind w:right="1200"/>
        <w:jc w:val="both"/>
        <w:rPr>
          <w:rFonts w:ascii="Arial" w:hAnsi="Arial" w:eastAsia="Arial" w:cs="Arial"/>
          <w:sz w:val="24"/>
          <w:szCs w:val="24"/>
        </w:rPr>
      </w:pPr>
      <w:r w:rsidRPr="608D2E7E" w:rsidR="5CA02D7A">
        <w:rPr>
          <w:rFonts w:ascii="Arial" w:hAnsi="Arial" w:eastAsia="Arial" w:cs="Arial"/>
          <w:b w:val="1"/>
          <w:bCs w:val="1"/>
          <w:sz w:val="24"/>
          <w:szCs w:val="24"/>
        </w:rPr>
        <w:t xml:space="preserve">Ruta Operativa  </w:t>
      </w:r>
      <w:r w:rsidRPr="608D2E7E" w:rsidR="5CA02D7A">
        <w:rPr>
          <w:rFonts w:ascii="Arial" w:hAnsi="Arial" w:eastAsia="Arial" w:cs="Arial"/>
          <w:sz w:val="24"/>
          <w:szCs w:val="24"/>
        </w:rPr>
        <w:t xml:space="preserve"> </w:t>
      </w:r>
    </w:p>
    <w:p w:rsidR="5CA02D7A" w:rsidP="60EAF375" w:rsidRDefault="5CA02D7A" w14:paraId="257A6354" w14:textId="7429F9B5">
      <w:pPr>
        <w:spacing w:line="360" w:lineRule="auto"/>
        <w:jc w:val="both"/>
        <w:rPr>
          <w:rFonts w:ascii="Arial" w:hAnsi="Arial" w:eastAsia="Arial" w:cs="Arial"/>
          <w:sz w:val="24"/>
          <w:szCs w:val="24"/>
        </w:rPr>
      </w:pPr>
      <w:r w:rsidRPr="60EAF375">
        <w:rPr>
          <w:rFonts w:ascii="Arial" w:hAnsi="Arial" w:eastAsia="Arial" w:cs="Arial"/>
          <w:sz w:val="24"/>
          <w:szCs w:val="24"/>
        </w:rPr>
        <w:t xml:space="preserve">La ruta operativa comienza en el escenario del procedimiento penal abreviado, a partir de la existencia de una noticia criminal. Esto puede generarse mediante una denuncia o por hechos ocurridos en el marco de una flagrancia.  </w:t>
      </w:r>
    </w:p>
    <w:p w:rsidR="5CA02D7A" w:rsidP="60EAF375" w:rsidRDefault="5CA02D7A" w14:paraId="7085B3E9" w14:textId="76C001D6">
      <w:pPr>
        <w:spacing w:line="360" w:lineRule="auto"/>
        <w:jc w:val="both"/>
        <w:rPr>
          <w:rFonts w:ascii="Arial" w:hAnsi="Arial" w:eastAsia="Arial" w:cs="Arial"/>
          <w:b/>
          <w:bCs/>
          <w:sz w:val="24"/>
          <w:szCs w:val="24"/>
        </w:rPr>
      </w:pPr>
      <w:r w:rsidRPr="60EAF375">
        <w:rPr>
          <w:rFonts w:ascii="Arial" w:hAnsi="Arial" w:eastAsia="Arial" w:cs="Arial"/>
          <w:b/>
          <w:bCs/>
          <w:sz w:val="24"/>
          <w:szCs w:val="24"/>
        </w:rPr>
        <w:t xml:space="preserve"> 1. Postulación del caso  </w:t>
      </w:r>
    </w:p>
    <w:p w:rsidR="5CA02D7A" w:rsidP="60EAF375" w:rsidRDefault="5CA02D7A" w14:paraId="7D521BA5" w14:textId="4080BC2C">
      <w:pPr>
        <w:spacing w:line="360" w:lineRule="auto"/>
        <w:jc w:val="both"/>
        <w:rPr>
          <w:rFonts w:ascii="Arial" w:hAnsi="Arial" w:eastAsia="Arial" w:cs="Arial"/>
          <w:sz w:val="24"/>
          <w:szCs w:val="24"/>
        </w:rPr>
      </w:pPr>
      <w:r w:rsidRPr="60EAF375">
        <w:rPr>
          <w:rFonts w:ascii="Arial" w:hAnsi="Arial" w:eastAsia="Arial" w:cs="Arial"/>
          <w:sz w:val="24"/>
          <w:szCs w:val="24"/>
        </w:rPr>
        <w:t xml:space="preserve">Con la noticia criminal, la Fiscalía puede realizar la postulación del caso. En el modelo actual, todas las postulaciones son presentadas ante un Comité de Estudio de Caso de Preselección, donde se evalúan diversos criterios:  </w:t>
      </w:r>
    </w:p>
    <w:p w:rsidR="5CA02D7A" w:rsidP="60EAF375" w:rsidRDefault="5CA02D7A" w14:paraId="064039A0" w14:textId="7BB903A5">
      <w:pPr>
        <w:pStyle w:val="ListParagraph"/>
        <w:numPr>
          <w:ilvl w:val="0"/>
          <w:numId w:val="2"/>
        </w:numPr>
        <w:spacing w:line="360" w:lineRule="auto"/>
        <w:jc w:val="both"/>
        <w:rPr>
          <w:rFonts w:ascii="Arial" w:hAnsi="Arial" w:eastAsia="Arial" w:cs="Arial"/>
          <w:sz w:val="24"/>
          <w:szCs w:val="24"/>
        </w:rPr>
      </w:pPr>
      <w:r w:rsidRPr="60EAF375">
        <w:rPr>
          <w:rFonts w:ascii="Arial" w:hAnsi="Arial" w:eastAsia="Arial" w:cs="Arial"/>
          <w:sz w:val="24"/>
          <w:szCs w:val="24"/>
        </w:rPr>
        <w:t xml:space="preserve">Que el caso no tenga un formato de identificación de riesgo alto o extremo.  </w:t>
      </w:r>
    </w:p>
    <w:p w:rsidR="5CA02D7A" w:rsidP="60EAF375" w:rsidRDefault="5CA02D7A" w14:paraId="740115C4" w14:textId="1303C663">
      <w:pPr>
        <w:pStyle w:val="ListParagraph"/>
        <w:numPr>
          <w:ilvl w:val="0"/>
          <w:numId w:val="2"/>
        </w:numPr>
        <w:spacing w:line="360" w:lineRule="auto"/>
        <w:jc w:val="both"/>
        <w:rPr>
          <w:rFonts w:ascii="Arial" w:hAnsi="Arial" w:eastAsia="Arial" w:cs="Arial"/>
          <w:sz w:val="24"/>
          <w:szCs w:val="24"/>
        </w:rPr>
      </w:pPr>
      <w:r w:rsidRPr="60EAF375">
        <w:rPr>
          <w:rFonts w:ascii="Arial" w:hAnsi="Arial" w:eastAsia="Arial" w:cs="Arial"/>
          <w:sz w:val="24"/>
          <w:szCs w:val="24"/>
        </w:rPr>
        <w:t>Que la persona involucrada no presente</w:t>
      </w:r>
      <w:r w:rsidRPr="60EAF375" w:rsidR="2F9EC113">
        <w:rPr>
          <w:rFonts w:ascii="Arial" w:hAnsi="Arial" w:eastAsia="Arial" w:cs="Arial"/>
          <w:sz w:val="24"/>
          <w:szCs w:val="24"/>
        </w:rPr>
        <w:t xml:space="preserve"> </w:t>
      </w:r>
      <w:r w:rsidRPr="60EAF375">
        <w:rPr>
          <w:rFonts w:ascii="Arial" w:hAnsi="Arial" w:eastAsia="Arial" w:cs="Arial"/>
          <w:sz w:val="24"/>
          <w:szCs w:val="24"/>
        </w:rPr>
        <w:t xml:space="preserve">patologías psiquiátricas descompensadas.  </w:t>
      </w:r>
    </w:p>
    <w:p w:rsidR="5CA02D7A" w:rsidP="60EAF375" w:rsidRDefault="5CA02D7A" w14:paraId="3E354607" w14:textId="41DDC828">
      <w:pPr>
        <w:pStyle w:val="ListParagraph"/>
        <w:numPr>
          <w:ilvl w:val="0"/>
          <w:numId w:val="2"/>
        </w:numPr>
        <w:spacing w:line="360" w:lineRule="auto"/>
        <w:jc w:val="both"/>
        <w:rPr>
          <w:rFonts w:ascii="Arial" w:hAnsi="Arial" w:eastAsia="Arial" w:cs="Arial"/>
          <w:sz w:val="24"/>
          <w:szCs w:val="24"/>
        </w:rPr>
      </w:pPr>
      <w:r w:rsidRPr="60EAF375">
        <w:rPr>
          <w:rFonts w:ascii="Arial" w:hAnsi="Arial" w:eastAsia="Arial" w:cs="Arial"/>
          <w:sz w:val="24"/>
          <w:szCs w:val="24"/>
        </w:rPr>
        <w:t xml:space="preserve">Que no exista relación de la persona con organizaciones delincuenciales o redes criminales.  </w:t>
      </w:r>
    </w:p>
    <w:p w:rsidR="5CA02D7A" w:rsidP="60EAF375" w:rsidRDefault="5CA02D7A" w14:paraId="335E3F96" w14:textId="1E3228F4">
      <w:pPr>
        <w:pStyle w:val="ListParagraph"/>
        <w:numPr>
          <w:ilvl w:val="0"/>
          <w:numId w:val="2"/>
        </w:numPr>
        <w:spacing w:line="360" w:lineRule="auto"/>
        <w:jc w:val="both"/>
        <w:rPr>
          <w:rFonts w:ascii="Arial" w:hAnsi="Arial" w:eastAsia="Arial" w:cs="Arial"/>
          <w:sz w:val="24"/>
          <w:szCs w:val="24"/>
        </w:rPr>
      </w:pPr>
      <w:r w:rsidRPr="60EAF375">
        <w:rPr>
          <w:rFonts w:ascii="Arial" w:hAnsi="Arial" w:eastAsia="Arial" w:cs="Arial"/>
          <w:sz w:val="24"/>
          <w:szCs w:val="24"/>
        </w:rPr>
        <w:t xml:space="preserve">La naturaleza del caso, los hechos </w:t>
      </w:r>
      <w:proofErr w:type="spellStart"/>
      <w:r w:rsidRPr="60EAF375">
        <w:rPr>
          <w:rFonts w:ascii="Arial" w:hAnsi="Arial" w:eastAsia="Arial" w:cs="Arial"/>
          <w:sz w:val="24"/>
          <w:szCs w:val="24"/>
        </w:rPr>
        <w:t>victimizantes</w:t>
      </w:r>
      <w:proofErr w:type="spellEnd"/>
      <w:r w:rsidRPr="60EAF375">
        <w:rPr>
          <w:rFonts w:ascii="Arial" w:hAnsi="Arial" w:eastAsia="Arial" w:cs="Arial"/>
          <w:sz w:val="24"/>
          <w:szCs w:val="24"/>
        </w:rPr>
        <w:t xml:space="preserve">, y la configuración del ciclo de violencia y agresión.  </w:t>
      </w:r>
    </w:p>
    <w:p w:rsidR="5CA02D7A" w:rsidP="60EAF375" w:rsidRDefault="5CA02D7A" w14:paraId="390779AD" w14:textId="39F2CA7A" w14:noSpellErr="1">
      <w:pPr>
        <w:spacing w:line="360" w:lineRule="auto"/>
        <w:jc w:val="both"/>
        <w:rPr>
          <w:rFonts w:ascii="Arial" w:hAnsi="Arial" w:eastAsia="Arial" w:cs="Arial"/>
          <w:sz w:val="24"/>
          <w:szCs w:val="24"/>
        </w:rPr>
      </w:pPr>
      <w:r w:rsidRPr="608D2E7E" w:rsidR="5CA02D7A">
        <w:rPr>
          <w:rFonts w:ascii="Arial" w:hAnsi="Arial" w:eastAsia="Arial" w:cs="Arial"/>
          <w:sz w:val="24"/>
          <w:szCs w:val="24"/>
        </w:rPr>
        <w:t xml:space="preserve"> </w:t>
      </w:r>
      <w:r w:rsidRPr="608D2E7E" w:rsidR="5CA02D7A">
        <w:rPr>
          <w:rFonts w:ascii="Arial" w:hAnsi="Arial" w:eastAsia="Arial" w:cs="Arial"/>
          <w:sz w:val="24"/>
          <w:szCs w:val="24"/>
        </w:rPr>
        <w:t xml:space="preserve">Si el caso cumple con los criterios establecidos, se da el ingreso al programa.  </w:t>
      </w:r>
    </w:p>
    <w:p w:rsidR="5CA02D7A" w:rsidP="60EAF375" w:rsidRDefault="5CA02D7A" w14:paraId="4BB0E4A0" w14:textId="22C20BD0">
      <w:pPr>
        <w:spacing w:line="360" w:lineRule="auto"/>
        <w:jc w:val="both"/>
        <w:rPr>
          <w:rFonts w:ascii="Arial" w:hAnsi="Arial" w:eastAsia="Arial" w:cs="Arial"/>
          <w:sz w:val="24"/>
          <w:szCs w:val="24"/>
        </w:rPr>
      </w:pPr>
      <w:r w:rsidRPr="60EAF375">
        <w:rPr>
          <w:rFonts w:ascii="Arial" w:hAnsi="Arial" w:eastAsia="Arial" w:cs="Arial"/>
          <w:b/>
          <w:bCs/>
          <w:sz w:val="24"/>
          <w:szCs w:val="24"/>
        </w:rPr>
        <w:t xml:space="preserve"> 2. Formalización y asignación del caso </w:t>
      </w:r>
      <w:r w:rsidRPr="60EAF375">
        <w:rPr>
          <w:rFonts w:ascii="Arial" w:hAnsi="Arial" w:eastAsia="Arial" w:cs="Arial"/>
          <w:sz w:val="24"/>
          <w:szCs w:val="24"/>
        </w:rPr>
        <w:t xml:space="preserve"> </w:t>
      </w:r>
    </w:p>
    <w:p w:rsidR="5CA02D7A" w:rsidP="60EAF375" w:rsidRDefault="5CA02D7A" w14:paraId="26DFE0F9" w14:textId="441DBF9B">
      <w:pPr>
        <w:spacing w:line="360" w:lineRule="auto"/>
        <w:jc w:val="both"/>
        <w:rPr>
          <w:rFonts w:ascii="Arial" w:hAnsi="Arial" w:eastAsia="Arial" w:cs="Arial"/>
          <w:sz w:val="24"/>
          <w:szCs w:val="24"/>
        </w:rPr>
      </w:pPr>
      <w:r w:rsidRPr="60EAF375">
        <w:rPr>
          <w:rFonts w:ascii="Arial" w:hAnsi="Arial" w:eastAsia="Arial" w:cs="Arial"/>
          <w:sz w:val="24"/>
          <w:szCs w:val="24"/>
        </w:rPr>
        <w:t xml:space="preserve">Una vez aprobado, el caso pasa a una instancia en la que se suscriben compromisos con la intervención del fiscal, formalizando así la remisión al </w:t>
      </w:r>
      <w:r w:rsidRPr="60EAF375" w:rsidR="0DF54730">
        <w:rPr>
          <w:rFonts w:ascii="Arial" w:hAnsi="Arial" w:eastAsia="Arial" w:cs="Arial"/>
          <w:sz w:val="24"/>
          <w:szCs w:val="24"/>
        </w:rPr>
        <w:t>P</w:t>
      </w:r>
      <w:r w:rsidRPr="60EAF375">
        <w:rPr>
          <w:rFonts w:ascii="Arial" w:hAnsi="Arial" w:eastAsia="Arial" w:cs="Arial"/>
          <w:sz w:val="24"/>
          <w:szCs w:val="24"/>
        </w:rPr>
        <w:t xml:space="preserve">rograma. Posteriormente, la coordinación psicosocial realiza la asignación a una terna de atención, lo que da inicio a la intervención.  </w:t>
      </w:r>
    </w:p>
    <w:p w:rsidR="5CA02D7A" w:rsidP="60EAF375" w:rsidRDefault="5CA02D7A" w14:paraId="5EE0929F" w14:textId="196E705C">
      <w:pPr>
        <w:spacing w:line="360" w:lineRule="auto"/>
        <w:jc w:val="both"/>
        <w:rPr>
          <w:rFonts w:ascii="Arial" w:hAnsi="Arial" w:eastAsia="Arial" w:cs="Arial"/>
          <w:sz w:val="24"/>
          <w:szCs w:val="24"/>
        </w:rPr>
      </w:pPr>
      <w:r w:rsidRPr="60EAF375">
        <w:rPr>
          <w:rFonts w:ascii="Arial" w:hAnsi="Arial" w:eastAsia="Arial" w:cs="Arial"/>
          <w:b/>
          <w:bCs/>
          <w:sz w:val="24"/>
          <w:szCs w:val="24"/>
        </w:rPr>
        <w:t>3. Intervención</w:t>
      </w:r>
      <w:r w:rsidRPr="60EAF375">
        <w:rPr>
          <w:rFonts w:ascii="Arial" w:hAnsi="Arial" w:eastAsia="Arial" w:cs="Arial"/>
          <w:sz w:val="24"/>
          <w:szCs w:val="24"/>
        </w:rPr>
        <w:t xml:space="preserve">  </w:t>
      </w:r>
    </w:p>
    <w:p w:rsidR="5CA02D7A" w:rsidP="60EAF375" w:rsidRDefault="5CA02D7A" w14:paraId="323DC5FB" w14:textId="37721AEE">
      <w:pPr>
        <w:spacing w:line="360" w:lineRule="auto"/>
        <w:jc w:val="both"/>
        <w:rPr>
          <w:rFonts w:ascii="Arial" w:hAnsi="Arial" w:eastAsia="Arial" w:cs="Arial"/>
          <w:sz w:val="24"/>
          <w:szCs w:val="24"/>
        </w:rPr>
      </w:pPr>
      <w:r w:rsidRPr="60EAF375">
        <w:rPr>
          <w:rFonts w:ascii="Arial" w:hAnsi="Arial" w:eastAsia="Arial" w:cs="Arial"/>
          <w:sz w:val="24"/>
          <w:szCs w:val="24"/>
        </w:rPr>
        <w:t xml:space="preserve">La intervención sigue los lineamientos establecidos en los programas, incluyendo:  </w:t>
      </w:r>
    </w:p>
    <w:p w:rsidR="5CA02D7A" w:rsidP="60EAF375" w:rsidRDefault="5CA02D7A" w14:paraId="235A986D" w14:textId="0B8D639B">
      <w:pPr>
        <w:spacing w:line="360" w:lineRule="auto"/>
        <w:ind w:left="708"/>
        <w:jc w:val="both"/>
        <w:rPr>
          <w:rFonts w:ascii="Arial" w:hAnsi="Arial" w:eastAsia="Arial" w:cs="Arial"/>
          <w:sz w:val="24"/>
          <w:szCs w:val="24"/>
        </w:rPr>
      </w:pPr>
      <w:r w:rsidRPr="60EAF375">
        <w:rPr>
          <w:rFonts w:ascii="Arial" w:hAnsi="Arial" w:eastAsia="Arial" w:cs="Arial"/>
          <w:sz w:val="24"/>
          <w:szCs w:val="24"/>
        </w:rPr>
        <w:t xml:space="preserve"> 1. Informe de valoración inicial.  </w:t>
      </w:r>
    </w:p>
    <w:p w:rsidR="5CA02D7A" w:rsidP="60EAF375" w:rsidRDefault="5CA02D7A" w14:paraId="00A79B15" w14:textId="21E1DBAF">
      <w:pPr>
        <w:spacing w:line="360" w:lineRule="auto"/>
        <w:ind w:left="708"/>
        <w:jc w:val="both"/>
        <w:rPr>
          <w:rFonts w:ascii="Arial" w:hAnsi="Arial" w:eastAsia="Arial" w:cs="Arial"/>
          <w:sz w:val="24"/>
          <w:szCs w:val="24"/>
        </w:rPr>
      </w:pPr>
      <w:r w:rsidRPr="60EAF375">
        <w:rPr>
          <w:rFonts w:ascii="Arial" w:hAnsi="Arial" w:eastAsia="Arial" w:cs="Arial"/>
          <w:sz w:val="24"/>
          <w:szCs w:val="24"/>
        </w:rPr>
        <w:t xml:space="preserve">2. Definición de objetivos restaurativos, que se consignan en un Plan Individual de Restauración (PIR).  </w:t>
      </w:r>
    </w:p>
    <w:p w:rsidR="5CA02D7A" w:rsidP="60EAF375" w:rsidRDefault="5CA02D7A" w14:paraId="4DCE3608" w14:textId="0FFC14FE">
      <w:pPr>
        <w:spacing w:line="360" w:lineRule="auto"/>
        <w:ind w:left="708"/>
        <w:jc w:val="both"/>
        <w:rPr>
          <w:rFonts w:ascii="Arial" w:hAnsi="Arial" w:eastAsia="Arial" w:cs="Arial"/>
          <w:sz w:val="24"/>
          <w:szCs w:val="24"/>
        </w:rPr>
      </w:pPr>
      <w:r w:rsidRPr="60EAF375">
        <w:rPr>
          <w:rFonts w:ascii="Arial" w:hAnsi="Arial" w:eastAsia="Arial" w:cs="Arial"/>
          <w:sz w:val="24"/>
          <w:szCs w:val="24"/>
        </w:rPr>
        <w:t>3. Seguimiento mediante informes bimestrales</w:t>
      </w:r>
    </w:p>
    <w:p w:rsidR="5CA02D7A" w:rsidP="60EAF375" w:rsidRDefault="5CA02D7A" w14:paraId="5618DF77" w14:textId="4CD914BC">
      <w:pPr>
        <w:spacing w:line="360" w:lineRule="auto"/>
        <w:jc w:val="both"/>
        <w:rPr>
          <w:rFonts w:ascii="Arial" w:hAnsi="Arial" w:eastAsia="Arial" w:cs="Arial"/>
          <w:sz w:val="24"/>
          <w:szCs w:val="24"/>
        </w:rPr>
      </w:pPr>
      <w:bookmarkStart w:name="_Int_PJgAQY8B" w:id="13"/>
      <w:r w:rsidRPr="60EAF375">
        <w:rPr>
          <w:rFonts w:ascii="Arial" w:hAnsi="Arial" w:eastAsia="Arial" w:cs="Arial"/>
          <w:sz w:val="24"/>
          <w:szCs w:val="24"/>
        </w:rPr>
        <w:t xml:space="preserve">En caso de ser necesario, se pueden realizar reafirmaciones o seguimientos adicionales a instancias del fiscal.  </w:t>
      </w:r>
      <w:bookmarkEnd w:id="13"/>
    </w:p>
    <w:p w:rsidR="5CA02D7A" w:rsidP="60EAF375" w:rsidRDefault="5CA02D7A" w14:paraId="773BE7BA" w14:textId="5BC56794">
      <w:pPr>
        <w:spacing w:line="360" w:lineRule="auto"/>
        <w:jc w:val="both"/>
        <w:rPr>
          <w:rFonts w:ascii="Arial" w:hAnsi="Arial" w:eastAsia="Arial" w:cs="Arial"/>
          <w:sz w:val="24"/>
          <w:szCs w:val="24"/>
        </w:rPr>
      </w:pPr>
      <w:r w:rsidRPr="60EAF375">
        <w:rPr>
          <w:rFonts w:ascii="Arial" w:hAnsi="Arial" w:eastAsia="Arial" w:cs="Arial"/>
          <w:sz w:val="24"/>
          <w:szCs w:val="24"/>
        </w:rPr>
        <w:t xml:space="preserve"> </w:t>
      </w:r>
      <w:r>
        <w:tab/>
      </w:r>
      <w:r w:rsidRPr="60EAF375">
        <w:rPr>
          <w:rFonts w:ascii="Arial" w:hAnsi="Arial" w:eastAsia="Arial" w:cs="Arial"/>
          <w:sz w:val="24"/>
          <w:szCs w:val="24"/>
        </w:rPr>
        <w:t xml:space="preserve">4. Desarrollo y cierre del caso  </w:t>
      </w:r>
    </w:p>
    <w:p w:rsidR="5CA02D7A" w:rsidP="60EAF375" w:rsidRDefault="5CA02D7A" w14:paraId="33EFAE1B" w14:textId="728FD0E1" w14:noSpellErr="1">
      <w:pPr>
        <w:spacing w:line="360" w:lineRule="auto"/>
        <w:jc w:val="both"/>
        <w:rPr>
          <w:rFonts w:ascii="Arial" w:hAnsi="Arial" w:eastAsia="Arial" w:cs="Arial"/>
          <w:sz w:val="24"/>
          <w:szCs w:val="24"/>
        </w:rPr>
      </w:pPr>
      <w:r w:rsidRPr="608D2E7E" w:rsidR="5CA02D7A">
        <w:rPr>
          <w:rFonts w:ascii="Arial" w:hAnsi="Arial" w:eastAsia="Arial" w:cs="Arial"/>
          <w:sz w:val="24"/>
          <w:szCs w:val="24"/>
        </w:rPr>
        <w:t xml:space="preserve">El caso se lleva a cierre una vez se cumplen los objetivos restaurativos. Sin embargo, en algunos casos, por los tiempos del procedimiento penal, puede ser necesario:  </w:t>
      </w:r>
    </w:p>
    <w:p w:rsidR="5CA02D7A" w:rsidP="60EAF375" w:rsidRDefault="5CA02D7A" w14:paraId="52E8BA8A" w14:textId="2ADA06C3">
      <w:pPr>
        <w:pStyle w:val="ListParagraph"/>
        <w:numPr>
          <w:ilvl w:val="0"/>
          <w:numId w:val="1"/>
        </w:numPr>
        <w:spacing w:line="360" w:lineRule="auto"/>
        <w:jc w:val="both"/>
        <w:rPr>
          <w:rFonts w:ascii="Arial" w:hAnsi="Arial" w:eastAsia="Arial" w:cs="Arial"/>
          <w:sz w:val="24"/>
          <w:szCs w:val="24"/>
        </w:rPr>
      </w:pPr>
      <w:r w:rsidRPr="60EAF375">
        <w:rPr>
          <w:rFonts w:ascii="Arial" w:hAnsi="Arial" w:eastAsia="Arial" w:cs="Arial"/>
          <w:sz w:val="24"/>
          <w:szCs w:val="24"/>
        </w:rPr>
        <w:t xml:space="preserve">Trasladar el escrito de acusación a la instancia de un juez.  </w:t>
      </w:r>
    </w:p>
    <w:p w:rsidR="5CA02D7A" w:rsidP="60EAF375" w:rsidRDefault="5CA02D7A" w14:paraId="29D110F7" w14:textId="569DF95C">
      <w:pPr>
        <w:pStyle w:val="ListParagraph"/>
        <w:numPr>
          <w:ilvl w:val="0"/>
          <w:numId w:val="1"/>
        </w:numPr>
        <w:spacing w:line="360" w:lineRule="auto"/>
        <w:jc w:val="both"/>
        <w:rPr>
          <w:rFonts w:ascii="Arial" w:hAnsi="Arial" w:eastAsia="Arial" w:cs="Arial"/>
          <w:sz w:val="24"/>
          <w:szCs w:val="24"/>
        </w:rPr>
      </w:pPr>
      <w:r w:rsidRPr="60EAF375">
        <w:rPr>
          <w:rFonts w:ascii="Arial" w:hAnsi="Arial" w:eastAsia="Arial" w:cs="Arial"/>
          <w:sz w:val="24"/>
          <w:szCs w:val="24"/>
        </w:rPr>
        <w:t xml:space="preserve">Acudir a un juez de conocimiento, tratándose del procedimiento penal abreviado, o a un juez de garantías para solicitar:  </w:t>
      </w:r>
    </w:p>
    <w:p w:rsidR="5CA02D7A" w:rsidP="60EAF375" w:rsidRDefault="5CA02D7A" w14:paraId="5BC7DA15" w14:textId="7BE7829B">
      <w:pPr>
        <w:pStyle w:val="ListParagraph"/>
        <w:numPr>
          <w:ilvl w:val="1"/>
          <w:numId w:val="1"/>
        </w:numPr>
        <w:spacing w:line="360" w:lineRule="auto"/>
        <w:jc w:val="both"/>
        <w:rPr>
          <w:rFonts w:ascii="Arial" w:hAnsi="Arial" w:eastAsia="Arial" w:cs="Arial"/>
          <w:sz w:val="24"/>
          <w:szCs w:val="24"/>
        </w:rPr>
      </w:pPr>
      <w:r w:rsidRPr="60EAF375">
        <w:rPr>
          <w:rFonts w:ascii="Arial" w:hAnsi="Arial" w:eastAsia="Arial" w:cs="Arial"/>
          <w:sz w:val="24"/>
          <w:szCs w:val="24"/>
        </w:rPr>
        <w:t xml:space="preserve">La aplicación de un principio de oportunidad.  </w:t>
      </w:r>
    </w:p>
    <w:p w:rsidR="5CA02D7A" w:rsidP="60EAF375" w:rsidRDefault="5CA02D7A" w14:paraId="39FAC269" w14:textId="6F6F0C97">
      <w:pPr>
        <w:pStyle w:val="ListParagraph"/>
        <w:numPr>
          <w:ilvl w:val="1"/>
          <w:numId w:val="1"/>
        </w:numPr>
        <w:spacing w:line="360" w:lineRule="auto"/>
        <w:jc w:val="both"/>
        <w:rPr>
          <w:rFonts w:ascii="Arial" w:hAnsi="Arial" w:eastAsia="Arial" w:cs="Arial"/>
          <w:sz w:val="24"/>
          <w:szCs w:val="24"/>
        </w:rPr>
      </w:pPr>
      <w:r w:rsidRPr="60EAF375">
        <w:rPr>
          <w:rFonts w:ascii="Arial" w:hAnsi="Arial" w:eastAsia="Arial" w:cs="Arial"/>
          <w:sz w:val="24"/>
          <w:szCs w:val="24"/>
        </w:rPr>
        <w:t xml:space="preserve">Medidas de aseguramiento que no sean privativas de la libertad.  </w:t>
      </w:r>
    </w:p>
    <w:p w:rsidR="5CA02D7A" w:rsidP="60EAF375" w:rsidRDefault="5CA02D7A" w14:paraId="3B804AFD" w14:textId="51C7E130">
      <w:pPr>
        <w:pStyle w:val="ListParagraph"/>
        <w:numPr>
          <w:ilvl w:val="1"/>
          <w:numId w:val="1"/>
        </w:numPr>
        <w:spacing w:line="360" w:lineRule="auto"/>
        <w:jc w:val="both"/>
        <w:rPr>
          <w:rFonts w:ascii="Arial" w:hAnsi="Arial" w:eastAsia="Arial" w:cs="Arial"/>
          <w:sz w:val="24"/>
          <w:szCs w:val="24"/>
        </w:rPr>
      </w:pPr>
      <w:r w:rsidRPr="60EAF375">
        <w:rPr>
          <w:rFonts w:ascii="Arial" w:hAnsi="Arial" w:eastAsia="Arial" w:cs="Arial"/>
          <w:sz w:val="24"/>
          <w:szCs w:val="24"/>
        </w:rPr>
        <w:t xml:space="preserve">Otras medidas propias de las funciones del juez de garantías.  </w:t>
      </w:r>
    </w:p>
    <w:p w:rsidR="5CA02D7A" w:rsidP="60EAF375" w:rsidRDefault="5CA02D7A" w14:paraId="2779D555" w14:textId="725D9708">
      <w:pPr>
        <w:spacing w:line="360" w:lineRule="auto"/>
        <w:jc w:val="both"/>
        <w:rPr>
          <w:rFonts w:ascii="Arial" w:hAnsi="Arial" w:eastAsia="Arial" w:cs="Arial"/>
          <w:sz w:val="24"/>
          <w:szCs w:val="24"/>
        </w:rPr>
      </w:pPr>
      <w:r w:rsidRPr="60EAF375">
        <w:rPr>
          <w:rFonts w:ascii="Arial" w:hAnsi="Arial" w:eastAsia="Arial" w:cs="Arial"/>
          <w:sz w:val="24"/>
          <w:szCs w:val="24"/>
        </w:rPr>
        <w:t xml:space="preserve">Cuando esto ocurre, el seguimiento no se realiza únicamente con el fiscal, sino que se pueden implementar audiencias de seguimiento con los jueces de control de garantías.  </w:t>
      </w:r>
    </w:p>
    <w:p w:rsidR="5CA02D7A" w:rsidP="60EAF375" w:rsidRDefault="5CA02D7A" w14:paraId="67DFCA65" w14:textId="535E6F3E">
      <w:pPr>
        <w:spacing w:line="360" w:lineRule="auto"/>
        <w:jc w:val="both"/>
        <w:rPr>
          <w:rFonts w:ascii="Arial" w:hAnsi="Arial" w:eastAsia="Arial" w:cs="Arial"/>
          <w:sz w:val="24"/>
          <w:szCs w:val="24"/>
        </w:rPr>
      </w:pPr>
      <w:r w:rsidRPr="60EAF375">
        <w:rPr>
          <w:rFonts w:ascii="Arial" w:hAnsi="Arial" w:eastAsia="Arial" w:cs="Arial"/>
          <w:sz w:val="24"/>
          <w:szCs w:val="24"/>
        </w:rPr>
        <w:t xml:space="preserve"> </w:t>
      </w:r>
    </w:p>
    <w:p w:rsidR="00491B6A" w:rsidP="72E64C15" w:rsidRDefault="00491B6A" w14:paraId="3B889B35" w14:textId="636A69C2">
      <w:pPr>
        <w:spacing w:line="360" w:lineRule="auto"/>
        <w:jc w:val="center"/>
        <w:rPr>
          <w:rFonts w:ascii="Arial" w:hAnsi="Arial" w:eastAsia="Arial" w:cs="Arial"/>
          <w:sz w:val="24"/>
          <w:szCs w:val="24"/>
        </w:rPr>
      </w:pPr>
      <w:r w:rsidRPr="60EAF375">
        <w:rPr>
          <w:rFonts w:ascii="Arial" w:hAnsi="Arial" w:eastAsia="Arial" w:cs="Arial"/>
          <w:b/>
          <w:bCs/>
          <w:sz w:val="24"/>
          <w:szCs w:val="24"/>
        </w:rPr>
        <w:t>Referencias</w:t>
      </w:r>
      <w:r w:rsidRPr="60EAF375">
        <w:rPr>
          <w:rFonts w:ascii="Arial" w:hAnsi="Arial" w:eastAsia="Arial" w:cs="Arial"/>
          <w:sz w:val="24"/>
          <w:szCs w:val="24"/>
        </w:rPr>
        <w:t>.</w:t>
      </w:r>
      <w:r w:rsidRPr="60EAF375" w:rsidR="069B375A">
        <w:rPr>
          <w:rFonts w:ascii="Arial" w:hAnsi="Arial" w:eastAsia="Arial" w:cs="Arial"/>
          <w:sz w:val="24"/>
          <w:szCs w:val="24"/>
        </w:rPr>
        <w:t xml:space="preserve"> </w:t>
      </w:r>
    </w:p>
    <w:p w:rsidR="069B375A" w:rsidP="206C2CE6" w:rsidRDefault="17AC5BE6" w14:paraId="13587780" w14:textId="7A43B01F">
      <w:pPr>
        <w:spacing w:line="360" w:lineRule="auto"/>
        <w:ind w:left="709" w:hanging="709"/>
        <w:jc w:val="both"/>
        <w:rPr>
          <w:rFonts w:ascii="Arial" w:hAnsi="Arial" w:eastAsia="Arial" w:cs="Arial"/>
          <w:sz w:val="24"/>
          <w:szCs w:val="24"/>
        </w:rPr>
      </w:pPr>
      <w:r w:rsidRPr="60EAF375">
        <w:rPr>
          <w:rFonts w:ascii="Arial" w:hAnsi="Arial" w:eastAsia="Arial" w:cs="Arial"/>
          <w:sz w:val="24"/>
          <w:szCs w:val="24"/>
        </w:rPr>
        <w:t xml:space="preserve">Almenares </w:t>
      </w:r>
      <w:proofErr w:type="spellStart"/>
      <w:r w:rsidRPr="60EAF375">
        <w:rPr>
          <w:rFonts w:ascii="Arial" w:hAnsi="Arial" w:eastAsia="Arial" w:cs="Arial"/>
          <w:sz w:val="24"/>
          <w:szCs w:val="24"/>
        </w:rPr>
        <w:t>Aleaga</w:t>
      </w:r>
      <w:proofErr w:type="spellEnd"/>
      <w:r w:rsidRPr="60EAF375">
        <w:rPr>
          <w:rFonts w:ascii="Arial" w:hAnsi="Arial" w:eastAsia="Arial" w:cs="Arial"/>
          <w:sz w:val="24"/>
          <w:szCs w:val="24"/>
        </w:rPr>
        <w:t xml:space="preserve">, M., </w:t>
      </w:r>
      <w:proofErr w:type="spellStart"/>
      <w:r w:rsidRPr="60EAF375">
        <w:rPr>
          <w:rFonts w:ascii="Arial" w:hAnsi="Arial" w:eastAsia="Arial" w:cs="Arial"/>
          <w:sz w:val="24"/>
          <w:szCs w:val="24"/>
        </w:rPr>
        <w:t>Louro</w:t>
      </w:r>
      <w:proofErr w:type="spellEnd"/>
      <w:r w:rsidRPr="60EAF375">
        <w:rPr>
          <w:rFonts w:ascii="Arial" w:hAnsi="Arial" w:eastAsia="Arial" w:cs="Arial"/>
          <w:sz w:val="24"/>
          <w:szCs w:val="24"/>
        </w:rPr>
        <w:t xml:space="preserve"> Bernal, I., &amp; Ortiz Gómez, M. T. (1999). Comportamiento de la violencia intrafamiliar. </w:t>
      </w:r>
      <w:r w:rsidRPr="60EAF375">
        <w:rPr>
          <w:rFonts w:ascii="Arial" w:hAnsi="Arial" w:eastAsia="Arial" w:cs="Arial"/>
          <w:i/>
          <w:iCs/>
          <w:sz w:val="24"/>
          <w:szCs w:val="24"/>
        </w:rPr>
        <w:t>Revista Cubana de Medicina General Integral, 15</w:t>
      </w:r>
      <w:r w:rsidRPr="60EAF375">
        <w:rPr>
          <w:rFonts w:ascii="Arial" w:hAnsi="Arial" w:eastAsia="Arial" w:cs="Arial"/>
          <w:sz w:val="24"/>
          <w:szCs w:val="24"/>
        </w:rPr>
        <w:t xml:space="preserve">, 285-292. </w:t>
      </w:r>
      <w:r w:rsidRPr="60EAF375" w:rsidR="3C4AE27C">
        <w:rPr>
          <w:rFonts w:ascii="Arial" w:hAnsi="Arial" w:eastAsia="Arial" w:cs="Arial"/>
          <w:sz w:val="24"/>
          <w:szCs w:val="24"/>
        </w:rPr>
        <w:t>http://ref.scielo.org/8dhwr2</w:t>
      </w:r>
    </w:p>
    <w:p w:rsidR="069B375A" w:rsidP="206C2CE6" w:rsidRDefault="069B375A" w14:paraId="4150FDBD" w14:textId="23CD527C">
      <w:pPr>
        <w:spacing w:line="360" w:lineRule="auto"/>
        <w:ind w:left="709" w:hanging="709"/>
        <w:jc w:val="both"/>
        <w:rPr>
          <w:rFonts w:ascii="Arial" w:hAnsi="Arial" w:eastAsia="Arial" w:cs="Arial"/>
          <w:sz w:val="24"/>
          <w:szCs w:val="24"/>
        </w:rPr>
      </w:pPr>
      <w:r w:rsidRPr="60EAF375">
        <w:rPr>
          <w:rFonts w:ascii="Arial" w:hAnsi="Arial" w:eastAsia="Arial" w:cs="Arial"/>
          <w:sz w:val="24"/>
          <w:szCs w:val="24"/>
        </w:rPr>
        <w:t xml:space="preserve">Arce, R., &amp; Fariña, F. (2010). Diseño e implementación del programa Galicia de reeducación de maltratadores: Una respuesta psicosocial a una necesidad social y penitenciaria. </w:t>
      </w:r>
      <w:proofErr w:type="spellStart"/>
      <w:r w:rsidRPr="60EAF375">
        <w:rPr>
          <w:rFonts w:ascii="Arial" w:hAnsi="Arial" w:eastAsia="Arial" w:cs="Arial"/>
          <w:i/>
          <w:iCs/>
          <w:sz w:val="24"/>
          <w:szCs w:val="24"/>
        </w:rPr>
        <w:t>Psychosocial</w:t>
      </w:r>
      <w:proofErr w:type="spellEnd"/>
      <w:r w:rsidRPr="60EAF375">
        <w:rPr>
          <w:rFonts w:ascii="Arial" w:hAnsi="Arial" w:eastAsia="Arial" w:cs="Arial"/>
          <w:i/>
          <w:iCs/>
          <w:sz w:val="24"/>
          <w:szCs w:val="24"/>
        </w:rPr>
        <w:t xml:space="preserve"> </w:t>
      </w:r>
      <w:proofErr w:type="spellStart"/>
      <w:r w:rsidRPr="60EAF375">
        <w:rPr>
          <w:rFonts w:ascii="Arial" w:hAnsi="Arial" w:eastAsia="Arial" w:cs="Arial"/>
          <w:i/>
          <w:iCs/>
          <w:sz w:val="24"/>
          <w:szCs w:val="24"/>
        </w:rPr>
        <w:t>Intervention</w:t>
      </w:r>
      <w:proofErr w:type="spellEnd"/>
      <w:r w:rsidRPr="60EAF375">
        <w:rPr>
          <w:rFonts w:ascii="Arial" w:hAnsi="Arial" w:eastAsia="Arial" w:cs="Arial"/>
          <w:i/>
          <w:iCs/>
          <w:sz w:val="24"/>
          <w:szCs w:val="24"/>
        </w:rPr>
        <w:t>, 19</w:t>
      </w:r>
      <w:r w:rsidRPr="60EAF375">
        <w:rPr>
          <w:rFonts w:ascii="Arial" w:hAnsi="Arial" w:eastAsia="Arial" w:cs="Arial"/>
          <w:sz w:val="24"/>
          <w:szCs w:val="24"/>
        </w:rPr>
        <w:t xml:space="preserve">(2), 153-166. </w:t>
      </w:r>
      <w:hyperlink r:id="rId8">
        <w:r w:rsidRPr="60EAF375">
          <w:rPr>
            <w:rStyle w:val="Hyperlink"/>
            <w:rFonts w:ascii="Arial" w:hAnsi="Arial" w:eastAsia="Arial" w:cs="Arial"/>
            <w:sz w:val="24"/>
            <w:szCs w:val="24"/>
          </w:rPr>
          <w:t>http://scielo.isciii.es/scielo.php?script=sci_arttext&amp;pid=S1132-05592010000200007&amp;lng=es&amp;tlng=e</w:t>
        </w:r>
        <w:r w:rsidRPr="60EAF375" w:rsidR="26BC7903">
          <w:rPr>
            <w:rStyle w:val="Hyperlink"/>
            <w:rFonts w:ascii="Arial" w:hAnsi="Arial" w:eastAsia="Arial" w:cs="Arial"/>
            <w:sz w:val="24"/>
            <w:szCs w:val="24"/>
          </w:rPr>
          <w:t>s</w:t>
        </w:r>
      </w:hyperlink>
    </w:p>
    <w:p w:rsidR="787405E6" w:rsidP="206C2CE6" w:rsidRDefault="2DF77AD3" w14:paraId="73CF3FFB" w14:textId="18868A10">
      <w:pPr>
        <w:spacing w:line="360" w:lineRule="auto"/>
        <w:ind w:left="709" w:hanging="709"/>
        <w:jc w:val="both"/>
        <w:rPr>
          <w:rFonts w:ascii="Arial" w:hAnsi="Arial" w:eastAsia="Arial" w:cs="Arial"/>
          <w:sz w:val="24"/>
          <w:szCs w:val="24"/>
        </w:rPr>
      </w:pPr>
      <w:r w:rsidRPr="60EAF375">
        <w:rPr>
          <w:rFonts w:ascii="Arial" w:hAnsi="Arial" w:eastAsia="Arial" w:cs="Arial"/>
          <w:sz w:val="24"/>
          <w:szCs w:val="24"/>
        </w:rPr>
        <w:t>Arce, R., Fariña, F., &amp; Novo, M. (2014). "Competencia cognitiva en penados primarios y reincidentes: Implicaciones para la reeducación". Anales de Psicología, 30(1), 259-266.</w:t>
      </w:r>
    </w:p>
    <w:p w:rsidR="5243A4B8" w:rsidP="3D184857" w:rsidRDefault="5243A4B8" w14:paraId="55EAC09C" w14:textId="4CCDCA90">
      <w:pPr>
        <w:spacing w:before="240" w:after="240" w:line="360" w:lineRule="auto"/>
        <w:ind w:left="630" w:hanging="630"/>
        <w:jc w:val="both"/>
        <w:rPr>
          <w:rFonts w:ascii="Arial" w:hAnsi="Arial" w:eastAsia="Arial" w:cs="Arial"/>
          <w:sz w:val="24"/>
          <w:szCs w:val="24"/>
        </w:rPr>
      </w:pPr>
      <w:r w:rsidRPr="60EAF375">
        <w:rPr>
          <w:rFonts w:ascii="Arial" w:hAnsi="Arial" w:eastAsia="Arial" w:cs="Arial"/>
          <w:color w:val="000000" w:themeColor="text1"/>
          <w:sz w:val="24"/>
          <w:szCs w:val="24"/>
        </w:rPr>
        <w:t>Barrientos, J., Molina, C., &amp; Salinas, D. (2013). Las causas de la violencia intrafamiliar en Medellín.</w:t>
      </w:r>
      <w:r w:rsidRPr="60EAF375">
        <w:rPr>
          <w:rFonts w:ascii="Arial" w:hAnsi="Arial" w:eastAsia="Arial" w:cs="Arial"/>
          <w:i/>
          <w:iCs/>
          <w:color w:val="000000" w:themeColor="text1"/>
          <w:sz w:val="24"/>
          <w:szCs w:val="24"/>
        </w:rPr>
        <w:t xml:space="preserve"> Perfil de coyuntura económica</w:t>
      </w:r>
      <w:r w:rsidRPr="60EAF375">
        <w:rPr>
          <w:rFonts w:ascii="Arial" w:hAnsi="Arial" w:eastAsia="Arial" w:cs="Arial"/>
          <w:color w:val="000000" w:themeColor="text1"/>
          <w:sz w:val="24"/>
          <w:szCs w:val="24"/>
        </w:rPr>
        <w:t>, (22), 99-102.</w:t>
      </w:r>
    </w:p>
    <w:p w:rsidR="069B375A" w:rsidP="206C2CE6" w:rsidRDefault="4968D030" w14:paraId="60919992" w14:textId="4B545626">
      <w:pPr>
        <w:spacing w:line="360" w:lineRule="auto"/>
        <w:ind w:left="709" w:hanging="709"/>
        <w:jc w:val="both"/>
        <w:rPr>
          <w:rFonts w:ascii="Arial" w:hAnsi="Arial" w:eastAsia="Arial" w:cs="Arial"/>
          <w:sz w:val="24"/>
          <w:szCs w:val="24"/>
        </w:rPr>
      </w:pPr>
      <w:r w:rsidRPr="60EAF375">
        <w:rPr>
          <w:rFonts w:ascii="Arial" w:hAnsi="Arial" w:eastAsia="Arial" w:cs="Arial"/>
          <w:sz w:val="24"/>
          <w:szCs w:val="24"/>
        </w:rPr>
        <w:t xml:space="preserve">Caicedo, C. (2005). Lucha contra la violencia intrafamiliar: perspectivas desde la experiencia colombiana. </w:t>
      </w:r>
      <w:r w:rsidRPr="60EAF375">
        <w:rPr>
          <w:rFonts w:ascii="Arial" w:hAnsi="Arial" w:eastAsia="Arial" w:cs="Arial"/>
          <w:i/>
          <w:iCs/>
          <w:sz w:val="24"/>
          <w:szCs w:val="24"/>
        </w:rPr>
        <w:t>París, Asociación mundial Escuela Instrumento de Paz</w:t>
      </w:r>
      <w:r w:rsidRPr="60EAF375">
        <w:rPr>
          <w:rFonts w:ascii="Arial" w:hAnsi="Arial" w:eastAsia="Arial" w:cs="Arial"/>
          <w:sz w:val="24"/>
          <w:szCs w:val="24"/>
        </w:rPr>
        <w:t>, 71-97.</w:t>
      </w:r>
    </w:p>
    <w:p w:rsidR="68D69873" w:rsidP="206C2CE6" w:rsidRDefault="68D69873" w14:paraId="559AF963" w14:textId="3F4A3EC7">
      <w:pPr>
        <w:spacing w:line="360" w:lineRule="auto"/>
        <w:ind w:left="630" w:hanging="630"/>
        <w:jc w:val="both"/>
        <w:rPr>
          <w:rFonts w:ascii="Arial" w:hAnsi="Arial" w:eastAsia="Arial" w:cs="Arial"/>
          <w:sz w:val="24"/>
          <w:szCs w:val="24"/>
        </w:rPr>
      </w:pPr>
      <w:proofErr w:type="spellStart"/>
      <w:r w:rsidRPr="60EAF375">
        <w:rPr>
          <w:rFonts w:ascii="Arial" w:hAnsi="Arial" w:eastAsia="Arial" w:cs="Arial"/>
          <w:color w:val="000000" w:themeColor="text1"/>
          <w:sz w:val="24"/>
          <w:szCs w:val="24"/>
        </w:rPr>
        <w:t>Canguilhem</w:t>
      </w:r>
      <w:proofErr w:type="spellEnd"/>
      <w:r w:rsidRPr="60EAF375">
        <w:rPr>
          <w:rFonts w:ascii="Arial" w:hAnsi="Arial" w:eastAsia="Arial" w:cs="Arial"/>
          <w:color w:val="000000" w:themeColor="text1"/>
          <w:sz w:val="24"/>
          <w:szCs w:val="24"/>
        </w:rPr>
        <w:t>, G. (1998). ¿Qué es la psicología? Revista colombiana de psicología, 7(1), 7-14.</w:t>
      </w:r>
    </w:p>
    <w:p w:rsidR="069B375A" w:rsidP="206C2CE6" w:rsidRDefault="7FE2727A" w14:paraId="42BFCAC4" w14:textId="3809D0D4">
      <w:pPr>
        <w:spacing w:line="360" w:lineRule="auto"/>
        <w:ind w:left="709" w:hanging="709"/>
        <w:jc w:val="both"/>
        <w:rPr>
          <w:rFonts w:ascii="Arial" w:hAnsi="Arial" w:eastAsia="Arial" w:cs="Arial"/>
          <w:sz w:val="24"/>
          <w:szCs w:val="24"/>
        </w:rPr>
      </w:pPr>
      <w:r w:rsidRPr="60EAF375">
        <w:rPr>
          <w:rFonts w:ascii="Arial" w:hAnsi="Arial" w:eastAsia="Arial" w:cs="Arial"/>
          <w:sz w:val="24"/>
          <w:szCs w:val="24"/>
        </w:rPr>
        <w:t xml:space="preserve">Cardona, J., Chica, J., Castaño, J., Flórez, D., López, D., &amp; Villegas, </w:t>
      </w:r>
      <w:proofErr w:type="spellStart"/>
      <w:r w:rsidRPr="60EAF375">
        <w:rPr>
          <w:rFonts w:ascii="Arial" w:hAnsi="Arial" w:eastAsia="Arial" w:cs="Arial"/>
          <w:sz w:val="24"/>
          <w:szCs w:val="24"/>
        </w:rPr>
        <w:t>Ó</w:t>
      </w:r>
      <w:proofErr w:type="spellEnd"/>
      <w:r w:rsidRPr="60EAF375">
        <w:rPr>
          <w:rFonts w:ascii="Arial" w:hAnsi="Arial" w:eastAsia="Arial" w:cs="Arial"/>
          <w:sz w:val="24"/>
          <w:szCs w:val="24"/>
        </w:rPr>
        <w:t xml:space="preserve">. (2014). Características de las personas que son víctimas de violencia intrafamiliar en la ciudad de Manizales, Caldas, Colombia, que consultan a ASSBASALUD E.S.E, entre los años 2012 y 2013. </w:t>
      </w:r>
      <w:proofErr w:type="spellStart"/>
      <w:r w:rsidRPr="60EAF375">
        <w:rPr>
          <w:rFonts w:ascii="Arial" w:hAnsi="Arial" w:eastAsia="Arial" w:cs="Arial"/>
          <w:i/>
          <w:iCs/>
          <w:sz w:val="24"/>
          <w:szCs w:val="24"/>
        </w:rPr>
        <w:t>Ridum</w:t>
      </w:r>
      <w:proofErr w:type="spellEnd"/>
      <w:r w:rsidRPr="60EAF375">
        <w:rPr>
          <w:rFonts w:ascii="Arial" w:hAnsi="Arial" w:eastAsia="Arial" w:cs="Arial"/>
          <w:i/>
          <w:iCs/>
          <w:sz w:val="24"/>
          <w:szCs w:val="24"/>
        </w:rPr>
        <w:t>. Repositorio Institucional de la Universidad de Manizales</w:t>
      </w:r>
      <w:r w:rsidRPr="60EAF375">
        <w:rPr>
          <w:rFonts w:ascii="Arial" w:hAnsi="Arial" w:eastAsia="Arial" w:cs="Arial"/>
          <w:sz w:val="24"/>
          <w:szCs w:val="24"/>
        </w:rPr>
        <w:t xml:space="preserve">, 1-12. </w:t>
      </w:r>
    </w:p>
    <w:p w:rsidR="069B375A" w:rsidP="206C2CE6" w:rsidRDefault="7FE2727A" w14:paraId="3E894D3A" w14:textId="37F890FA">
      <w:pPr>
        <w:spacing w:line="360" w:lineRule="auto"/>
        <w:ind w:left="709" w:hanging="709"/>
        <w:jc w:val="both"/>
        <w:rPr>
          <w:rFonts w:ascii="Arial" w:hAnsi="Arial" w:eastAsia="Arial" w:cs="Arial"/>
          <w:sz w:val="24"/>
          <w:szCs w:val="24"/>
        </w:rPr>
      </w:pPr>
      <w:proofErr w:type="spellStart"/>
      <w:r w:rsidRPr="60EAF375">
        <w:rPr>
          <w:rFonts w:ascii="Arial" w:hAnsi="Arial" w:eastAsia="Arial" w:cs="Arial"/>
          <w:sz w:val="24"/>
          <w:szCs w:val="24"/>
        </w:rPr>
        <w:t>Caruso</w:t>
      </w:r>
      <w:proofErr w:type="spellEnd"/>
      <w:r w:rsidRPr="60EAF375">
        <w:rPr>
          <w:rFonts w:ascii="Arial" w:hAnsi="Arial" w:eastAsia="Arial" w:cs="Arial"/>
          <w:sz w:val="24"/>
          <w:szCs w:val="24"/>
        </w:rPr>
        <w:t xml:space="preserve">, J. M. (2020). Violencia intrafamiliar y de género: Estudio de revisión sistemática: Intervención sobre los varones implicados. </w:t>
      </w:r>
      <w:r w:rsidRPr="60EAF375">
        <w:rPr>
          <w:rFonts w:ascii="Arial" w:hAnsi="Arial" w:eastAsia="Arial" w:cs="Arial"/>
          <w:i/>
          <w:iCs/>
          <w:sz w:val="24"/>
          <w:szCs w:val="24"/>
        </w:rPr>
        <w:t>Calidad De Vida Y Salud, 13</w:t>
      </w:r>
      <w:r w:rsidRPr="60EAF375">
        <w:rPr>
          <w:rFonts w:ascii="Arial" w:hAnsi="Arial" w:eastAsia="Arial" w:cs="Arial"/>
          <w:sz w:val="24"/>
          <w:szCs w:val="24"/>
        </w:rPr>
        <w:t xml:space="preserve">(ESPECIAL), 53-82. http://revistacdvs.uflo.edu.ar/index.php/CdVUFLO/article/view/263 </w:t>
      </w:r>
    </w:p>
    <w:p w:rsidR="069B375A" w:rsidP="206C2CE6" w:rsidRDefault="7FE2727A" w14:paraId="775821B6" w14:textId="0418308A">
      <w:pPr>
        <w:spacing w:line="360" w:lineRule="auto"/>
        <w:ind w:left="709" w:hanging="709"/>
        <w:jc w:val="both"/>
        <w:rPr>
          <w:rFonts w:ascii="Arial" w:hAnsi="Arial" w:eastAsia="Arial" w:cs="Arial"/>
          <w:sz w:val="24"/>
          <w:szCs w:val="24"/>
        </w:rPr>
      </w:pPr>
      <w:proofErr w:type="spellStart"/>
      <w:r w:rsidRPr="60EAF375">
        <w:rPr>
          <w:rFonts w:ascii="Arial" w:hAnsi="Arial" w:eastAsia="Arial" w:cs="Arial"/>
          <w:sz w:val="24"/>
          <w:szCs w:val="24"/>
        </w:rPr>
        <w:t>Echeburúa</w:t>
      </w:r>
      <w:proofErr w:type="spellEnd"/>
      <w:r w:rsidRPr="60EAF375">
        <w:rPr>
          <w:rFonts w:ascii="Arial" w:hAnsi="Arial" w:eastAsia="Arial" w:cs="Arial"/>
          <w:sz w:val="24"/>
          <w:szCs w:val="24"/>
        </w:rPr>
        <w:t xml:space="preserve">, E., &amp; Fernández-Montalvo, J. (2009). Evaluación de un programa de tratamiento en prisión de hombres condenados por violencia grave contra la pareja. </w:t>
      </w:r>
      <w:r w:rsidRPr="60EAF375">
        <w:rPr>
          <w:rFonts w:ascii="Arial" w:hAnsi="Arial" w:eastAsia="Arial" w:cs="Arial"/>
          <w:i/>
          <w:iCs/>
          <w:sz w:val="24"/>
          <w:szCs w:val="24"/>
        </w:rPr>
        <w:t xml:space="preserve">International </w:t>
      </w:r>
      <w:proofErr w:type="spellStart"/>
      <w:r w:rsidRPr="60EAF375">
        <w:rPr>
          <w:rFonts w:ascii="Arial" w:hAnsi="Arial" w:eastAsia="Arial" w:cs="Arial"/>
          <w:i/>
          <w:iCs/>
          <w:sz w:val="24"/>
          <w:szCs w:val="24"/>
        </w:rPr>
        <w:t>Journal</w:t>
      </w:r>
      <w:proofErr w:type="spellEnd"/>
      <w:r w:rsidRPr="60EAF375">
        <w:rPr>
          <w:rFonts w:ascii="Arial" w:hAnsi="Arial" w:eastAsia="Arial" w:cs="Arial"/>
          <w:i/>
          <w:iCs/>
          <w:sz w:val="24"/>
          <w:szCs w:val="24"/>
        </w:rPr>
        <w:t xml:space="preserve"> of </w:t>
      </w:r>
      <w:proofErr w:type="spellStart"/>
      <w:r w:rsidRPr="60EAF375">
        <w:rPr>
          <w:rFonts w:ascii="Arial" w:hAnsi="Arial" w:eastAsia="Arial" w:cs="Arial"/>
          <w:i/>
          <w:iCs/>
          <w:sz w:val="24"/>
          <w:szCs w:val="24"/>
        </w:rPr>
        <w:t>Clinical</w:t>
      </w:r>
      <w:proofErr w:type="spellEnd"/>
      <w:r w:rsidRPr="60EAF375">
        <w:rPr>
          <w:rFonts w:ascii="Arial" w:hAnsi="Arial" w:eastAsia="Arial" w:cs="Arial"/>
          <w:i/>
          <w:iCs/>
          <w:sz w:val="24"/>
          <w:szCs w:val="24"/>
        </w:rPr>
        <w:t xml:space="preserve"> and </w:t>
      </w:r>
      <w:proofErr w:type="spellStart"/>
      <w:r w:rsidRPr="60EAF375">
        <w:rPr>
          <w:rFonts w:ascii="Arial" w:hAnsi="Arial" w:eastAsia="Arial" w:cs="Arial"/>
          <w:i/>
          <w:iCs/>
          <w:sz w:val="24"/>
          <w:szCs w:val="24"/>
        </w:rPr>
        <w:t>Health</w:t>
      </w:r>
      <w:proofErr w:type="spellEnd"/>
      <w:r w:rsidRPr="60EAF375">
        <w:rPr>
          <w:rFonts w:ascii="Arial" w:hAnsi="Arial" w:eastAsia="Arial" w:cs="Arial"/>
          <w:i/>
          <w:iCs/>
          <w:sz w:val="24"/>
          <w:szCs w:val="24"/>
        </w:rPr>
        <w:t xml:space="preserve"> </w:t>
      </w:r>
      <w:proofErr w:type="spellStart"/>
      <w:r w:rsidRPr="60EAF375">
        <w:rPr>
          <w:rFonts w:ascii="Arial" w:hAnsi="Arial" w:eastAsia="Arial" w:cs="Arial"/>
          <w:i/>
          <w:iCs/>
          <w:sz w:val="24"/>
          <w:szCs w:val="24"/>
        </w:rPr>
        <w:t>Psychology</w:t>
      </w:r>
      <w:proofErr w:type="spellEnd"/>
      <w:r w:rsidRPr="60EAF375">
        <w:rPr>
          <w:rFonts w:ascii="Arial" w:hAnsi="Arial" w:eastAsia="Arial" w:cs="Arial"/>
          <w:i/>
          <w:iCs/>
          <w:sz w:val="24"/>
          <w:szCs w:val="24"/>
        </w:rPr>
        <w:t>, 9</w:t>
      </w:r>
      <w:r w:rsidRPr="60EAF375">
        <w:rPr>
          <w:rFonts w:ascii="Arial" w:hAnsi="Arial" w:eastAsia="Arial" w:cs="Arial"/>
          <w:sz w:val="24"/>
          <w:szCs w:val="24"/>
        </w:rPr>
        <w:t xml:space="preserve">(1), 5-20. </w:t>
      </w:r>
    </w:p>
    <w:p w:rsidR="069B375A" w:rsidP="206C2CE6" w:rsidRDefault="069B375A" w14:paraId="2E63DF65" w14:textId="77C9E932">
      <w:pPr>
        <w:spacing w:line="360" w:lineRule="auto"/>
        <w:ind w:left="709" w:hanging="709"/>
        <w:jc w:val="both"/>
        <w:rPr>
          <w:rFonts w:ascii="Arial" w:hAnsi="Arial" w:eastAsia="Arial" w:cs="Arial"/>
          <w:sz w:val="24"/>
          <w:szCs w:val="24"/>
        </w:rPr>
      </w:pPr>
      <w:r w:rsidRPr="60EAF375">
        <w:rPr>
          <w:rFonts w:ascii="Arial" w:hAnsi="Arial" w:eastAsia="Arial" w:cs="Arial"/>
          <w:sz w:val="24"/>
          <w:szCs w:val="24"/>
        </w:rPr>
        <w:t xml:space="preserve">Ferrer Pérez, V. A., Ferreiro-Basurto, V., Navarro Guzmán, C., &amp; Bosch, E. (2016). Programas de intervención con maltratadores en España: La perspectiva de los/as profesionales. </w:t>
      </w:r>
      <w:proofErr w:type="spellStart"/>
      <w:r w:rsidRPr="60EAF375">
        <w:rPr>
          <w:rFonts w:ascii="Arial" w:hAnsi="Arial" w:eastAsia="Arial" w:cs="Arial"/>
          <w:i/>
          <w:iCs/>
          <w:sz w:val="24"/>
          <w:szCs w:val="24"/>
        </w:rPr>
        <w:t>Psychosocial</w:t>
      </w:r>
      <w:proofErr w:type="spellEnd"/>
      <w:r w:rsidRPr="60EAF375">
        <w:rPr>
          <w:rFonts w:ascii="Arial" w:hAnsi="Arial" w:eastAsia="Arial" w:cs="Arial"/>
          <w:i/>
          <w:iCs/>
          <w:sz w:val="24"/>
          <w:szCs w:val="24"/>
        </w:rPr>
        <w:t xml:space="preserve"> </w:t>
      </w:r>
      <w:proofErr w:type="spellStart"/>
      <w:r w:rsidRPr="60EAF375">
        <w:rPr>
          <w:rFonts w:ascii="Arial" w:hAnsi="Arial" w:eastAsia="Arial" w:cs="Arial"/>
          <w:i/>
          <w:iCs/>
          <w:sz w:val="24"/>
          <w:szCs w:val="24"/>
        </w:rPr>
        <w:t>Intervention</w:t>
      </w:r>
      <w:proofErr w:type="spellEnd"/>
      <w:r w:rsidRPr="60EAF375">
        <w:rPr>
          <w:rFonts w:ascii="Arial" w:hAnsi="Arial" w:eastAsia="Arial" w:cs="Arial"/>
          <w:i/>
          <w:iCs/>
          <w:sz w:val="24"/>
          <w:szCs w:val="24"/>
        </w:rPr>
        <w:t>, 25</w:t>
      </w:r>
      <w:r w:rsidRPr="60EAF375">
        <w:rPr>
          <w:rFonts w:ascii="Arial" w:hAnsi="Arial" w:eastAsia="Arial" w:cs="Arial"/>
          <w:sz w:val="24"/>
          <w:szCs w:val="24"/>
        </w:rPr>
        <w:t xml:space="preserve">(3), 159-168. </w:t>
      </w:r>
      <w:hyperlink r:id="rId9">
        <w:r w:rsidRPr="60EAF375">
          <w:rPr>
            <w:rStyle w:val="Hyperlink"/>
            <w:rFonts w:ascii="Arial" w:hAnsi="Arial" w:eastAsia="Arial" w:cs="Arial"/>
            <w:sz w:val="24"/>
            <w:szCs w:val="24"/>
          </w:rPr>
          <w:t>https://doi.org/10.1016/j.psi.2016.06.001</w:t>
        </w:r>
      </w:hyperlink>
    </w:p>
    <w:p w:rsidR="069B375A" w:rsidP="206C2CE6" w:rsidRDefault="069B375A" w14:paraId="1DC62639" w14:textId="5F3D393F">
      <w:pPr>
        <w:spacing w:line="360" w:lineRule="auto"/>
        <w:ind w:left="709" w:hanging="709"/>
        <w:jc w:val="both"/>
        <w:rPr>
          <w:rFonts w:ascii="Arial" w:hAnsi="Arial" w:eastAsia="Arial" w:cs="Arial"/>
          <w:sz w:val="24"/>
          <w:szCs w:val="24"/>
        </w:rPr>
      </w:pPr>
      <w:r w:rsidRPr="60EAF375">
        <w:rPr>
          <w:rFonts w:ascii="Arial" w:hAnsi="Arial" w:eastAsia="Arial" w:cs="Arial"/>
          <w:sz w:val="24"/>
          <w:szCs w:val="24"/>
        </w:rPr>
        <w:t xml:space="preserve">Guerrero Molina, M., Moreno Manso, J. M., Guerrero Barona, E. J., García-Baamonde Sánchez, M. E., &amp; Godoy Merino, M. J. (2020). Agresores condenados por violencia de género reincidentes y no reincidentes: Dimensiones cognitivas y sociales. </w:t>
      </w:r>
      <w:r w:rsidRPr="60EAF375">
        <w:rPr>
          <w:rFonts w:ascii="Arial" w:hAnsi="Arial" w:eastAsia="Arial" w:cs="Arial"/>
          <w:i/>
          <w:iCs/>
          <w:sz w:val="24"/>
          <w:szCs w:val="24"/>
        </w:rPr>
        <w:t xml:space="preserve">Psicología Conductual = </w:t>
      </w:r>
      <w:proofErr w:type="spellStart"/>
      <w:r w:rsidRPr="60EAF375">
        <w:rPr>
          <w:rFonts w:ascii="Arial" w:hAnsi="Arial" w:eastAsia="Arial" w:cs="Arial"/>
          <w:i/>
          <w:iCs/>
          <w:sz w:val="24"/>
          <w:szCs w:val="24"/>
        </w:rPr>
        <w:t>Behavioral</w:t>
      </w:r>
      <w:proofErr w:type="spellEnd"/>
      <w:r w:rsidRPr="60EAF375">
        <w:rPr>
          <w:rFonts w:ascii="Arial" w:hAnsi="Arial" w:eastAsia="Arial" w:cs="Arial"/>
          <w:i/>
          <w:iCs/>
          <w:sz w:val="24"/>
          <w:szCs w:val="24"/>
        </w:rPr>
        <w:t xml:space="preserve"> </w:t>
      </w:r>
      <w:proofErr w:type="spellStart"/>
      <w:r w:rsidRPr="60EAF375">
        <w:rPr>
          <w:rFonts w:ascii="Arial" w:hAnsi="Arial" w:eastAsia="Arial" w:cs="Arial"/>
          <w:i/>
          <w:iCs/>
          <w:sz w:val="24"/>
          <w:szCs w:val="24"/>
        </w:rPr>
        <w:t>Psychology</w:t>
      </w:r>
      <w:proofErr w:type="spellEnd"/>
      <w:r w:rsidRPr="60EAF375">
        <w:rPr>
          <w:rFonts w:ascii="Arial" w:hAnsi="Arial" w:eastAsia="Arial" w:cs="Arial"/>
          <w:i/>
          <w:iCs/>
          <w:sz w:val="24"/>
          <w:szCs w:val="24"/>
        </w:rPr>
        <w:t>: Revista Internacional de Psicología Clínica y de la Salud, 28</w:t>
      </w:r>
      <w:r w:rsidRPr="60EAF375">
        <w:rPr>
          <w:rFonts w:ascii="Arial" w:hAnsi="Arial" w:eastAsia="Arial" w:cs="Arial"/>
          <w:sz w:val="24"/>
          <w:szCs w:val="24"/>
        </w:rPr>
        <w:t>(2), 331-345.</w:t>
      </w:r>
    </w:p>
    <w:p w:rsidR="3DFE2206" w:rsidP="206C2CE6" w:rsidRDefault="3DFE2206" w14:paraId="0854F124" w14:textId="595960F3">
      <w:pPr>
        <w:spacing w:line="360" w:lineRule="auto"/>
        <w:ind w:left="709" w:hanging="709"/>
        <w:jc w:val="both"/>
        <w:rPr>
          <w:rFonts w:ascii="Arial" w:hAnsi="Arial" w:eastAsia="Arial" w:cs="Arial"/>
          <w:sz w:val="24"/>
          <w:szCs w:val="24"/>
        </w:rPr>
      </w:pPr>
      <w:proofErr w:type="spellStart"/>
      <w:r w:rsidRPr="60EAF375">
        <w:rPr>
          <w:rFonts w:ascii="Arial" w:hAnsi="Arial" w:eastAsia="Arial" w:cs="Arial"/>
          <w:color w:val="000000" w:themeColor="text1"/>
          <w:sz w:val="24"/>
          <w:szCs w:val="24"/>
        </w:rPr>
        <w:t>Kisnerman</w:t>
      </w:r>
      <w:proofErr w:type="spellEnd"/>
      <w:r w:rsidRPr="60EAF375">
        <w:rPr>
          <w:rFonts w:ascii="Arial" w:hAnsi="Arial" w:eastAsia="Arial" w:cs="Arial"/>
          <w:color w:val="000000" w:themeColor="text1"/>
          <w:sz w:val="24"/>
          <w:szCs w:val="24"/>
        </w:rPr>
        <w:t xml:space="preserve">, N. (1998). Pensar el trabajo social. </w:t>
      </w:r>
      <w:proofErr w:type="spellStart"/>
      <w:r w:rsidRPr="60EAF375">
        <w:rPr>
          <w:rFonts w:ascii="Arial" w:hAnsi="Arial" w:eastAsia="Arial" w:cs="Arial"/>
          <w:color w:val="000000" w:themeColor="text1"/>
          <w:sz w:val="24"/>
          <w:szCs w:val="24"/>
        </w:rPr>
        <w:t>Sites</w:t>
      </w:r>
      <w:proofErr w:type="spellEnd"/>
      <w:r w:rsidRPr="60EAF375">
        <w:rPr>
          <w:rFonts w:ascii="Arial" w:hAnsi="Arial" w:eastAsia="Arial" w:cs="Arial"/>
          <w:color w:val="000000" w:themeColor="text1"/>
          <w:sz w:val="24"/>
          <w:szCs w:val="24"/>
        </w:rPr>
        <w:t xml:space="preserve">/Lumen.  </w:t>
      </w:r>
      <w:r w:rsidRPr="60EAF375">
        <w:rPr>
          <w:rFonts w:ascii="Arial" w:hAnsi="Arial" w:eastAsia="Arial" w:cs="Arial"/>
          <w:sz w:val="24"/>
          <w:szCs w:val="24"/>
        </w:rPr>
        <w:t xml:space="preserve"> </w:t>
      </w:r>
    </w:p>
    <w:p w:rsidR="184AA773" w:rsidP="206C2CE6" w:rsidRDefault="184AA773" w14:paraId="7F9EFBA6" w14:textId="4B7D12F0">
      <w:pPr>
        <w:spacing w:line="360" w:lineRule="auto"/>
        <w:ind w:left="709" w:hanging="709"/>
        <w:jc w:val="both"/>
        <w:rPr>
          <w:rFonts w:ascii="Arial" w:hAnsi="Arial" w:eastAsia="Arial" w:cs="Arial"/>
          <w:sz w:val="24"/>
          <w:szCs w:val="24"/>
        </w:rPr>
      </w:pPr>
      <w:proofErr w:type="spellStart"/>
      <w:r w:rsidRPr="60EAF375">
        <w:rPr>
          <w:rFonts w:ascii="Arial" w:hAnsi="Arial" w:eastAsia="Arial" w:cs="Arial"/>
          <w:sz w:val="24"/>
          <w:szCs w:val="24"/>
        </w:rPr>
        <w:t>Lafaurie</w:t>
      </w:r>
      <w:proofErr w:type="spellEnd"/>
      <w:r w:rsidRPr="60EAF375">
        <w:rPr>
          <w:rFonts w:ascii="Arial" w:hAnsi="Arial" w:eastAsia="Arial" w:cs="Arial"/>
          <w:sz w:val="24"/>
          <w:szCs w:val="24"/>
        </w:rPr>
        <w:t xml:space="preserve"> Villamil, M. M. (2015). "La violencia intrafamiliar contra las mujeres en Bogotá: una mirada de género". Revista Colombiana de Enfermería, 10(10), 45-54.</w:t>
      </w:r>
    </w:p>
    <w:p w:rsidR="069B375A" w:rsidP="206C2CE6" w:rsidRDefault="2406114B" w14:paraId="57F4A7B5" w14:textId="31B867C0">
      <w:pPr>
        <w:spacing w:line="360" w:lineRule="auto"/>
        <w:ind w:left="709" w:hanging="709"/>
        <w:jc w:val="both"/>
        <w:rPr>
          <w:rFonts w:ascii="Arial" w:hAnsi="Arial" w:eastAsia="Arial" w:cs="Arial"/>
          <w:sz w:val="24"/>
          <w:szCs w:val="24"/>
        </w:rPr>
      </w:pPr>
      <w:r w:rsidRPr="60EAF375">
        <w:rPr>
          <w:rFonts w:ascii="Arial" w:hAnsi="Arial" w:eastAsia="Arial" w:cs="Arial"/>
          <w:sz w:val="24"/>
          <w:szCs w:val="24"/>
        </w:rPr>
        <w:t xml:space="preserve">Lila, M., Catalá, A., </w:t>
      </w:r>
      <w:proofErr w:type="spellStart"/>
      <w:r w:rsidRPr="60EAF375">
        <w:rPr>
          <w:rFonts w:ascii="Arial" w:hAnsi="Arial" w:eastAsia="Arial" w:cs="Arial"/>
          <w:sz w:val="24"/>
          <w:szCs w:val="24"/>
        </w:rPr>
        <w:t>Conchell</w:t>
      </w:r>
      <w:proofErr w:type="spellEnd"/>
      <w:r w:rsidRPr="60EAF375">
        <w:rPr>
          <w:rFonts w:ascii="Arial" w:hAnsi="Arial" w:eastAsia="Arial" w:cs="Arial"/>
          <w:sz w:val="24"/>
          <w:szCs w:val="24"/>
        </w:rPr>
        <w:t xml:space="preserve">, R., García, A., Lorenzo, M. V., </w:t>
      </w:r>
      <w:proofErr w:type="spellStart"/>
      <w:r w:rsidRPr="60EAF375">
        <w:rPr>
          <w:rFonts w:ascii="Arial" w:hAnsi="Arial" w:eastAsia="Arial" w:cs="Arial"/>
          <w:sz w:val="24"/>
          <w:szCs w:val="24"/>
        </w:rPr>
        <w:t>Pedrón</w:t>
      </w:r>
      <w:proofErr w:type="spellEnd"/>
      <w:r w:rsidRPr="60EAF375">
        <w:rPr>
          <w:rFonts w:ascii="Arial" w:hAnsi="Arial" w:eastAsia="Arial" w:cs="Arial"/>
          <w:sz w:val="24"/>
          <w:szCs w:val="24"/>
        </w:rPr>
        <w:t xml:space="preserve">, V., &amp; Terreros, E. (2010). Una experiencia de investigación, formación e intervención con hombres penados por violencia contra la mujer en la Universidad de Valencia: Programa Contexto. </w:t>
      </w:r>
      <w:proofErr w:type="spellStart"/>
      <w:r w:rsidRPr="60EAF375">
        <w:rPr>
          <w:rFonts w:ascii="Arial" w:hAnsi="Arial" w:eastAsia="Arial" w:cs="Arial"/>
          <w:i/>
          <w:iCs/>
          <w:sz w:val="24"/>
          <w:szCs w:val="24"/>
        </w:rPr>
        <w:t>Psychosocial</w:t>
      </w:r>
      <w:proofErr w:type="spellEnd"/>
      <w:r w:rsidRPr="60EAF375">
        <w:rPr>
          <w:rFonts w:ascii="Arial" w:hAnsi="Arial" w:eastAsia="Arial" w:cs="Arial"/>
          <w:i/>
          <w:iCs/>
          <w:sz w:val="24"/>
          <w:szCs w:val="24"/>
        </w:rPr>
        <w:t xml:space="preserve"> </w:t>
      </w:r>
      <w:proofErr w:type="spellStart"/>
      <w:r w:rsidRPr="60EAF375">
        <w:rPr>
          <w:rFonts w:ascii="Arial" w:hAnsi="Arial" w:eastAsia="Arial" w:cs="Arial"/>
          <w:i/>
          <w:iCs/>
          <w:sz w:val="24"/>
          <w:szCs w:val="24"/>
        </w:rPr>
        <w:t>Intervention</w:t>
      </w:r>
      <w:proofErr w:type="spellEnd"/>
      <w:r w:rsidRPr="60EAF375">
        <w:rPr>
          <w:rFonts w:ascii="Arial" w:hAnsi="Arial" w:eastAsia="Arial" w:cs="Arial"/>
          <w:i/>
          <w:iCs/>
          <w:sz w:val="24"/>
          <w:szCs w:val="24"/>
        </w:rPr>
        <w:t>, 19</w:t>
      </w:r>
      <w:r w:rsidRPr="60EAF375">
        <w:rPr>
          <w:rFonts w:ascii="Arial" w:hAnsi="Arial" w:eastAsia="Arial" w:cs="Arial"/>
          <w:sz w:val="24"/>
          <w:szCs w:val="24"/>
        </w:rPr>
        <w:t xml:space="preserve">(2), 167-179. </w:t>
      </w:r>
    </w:p>
    <w:p w:rsidR="069B375A" w:rsidP="206C2CE6" w:rsidRDefault="2406114B" w14:paraId="5DC28D54" w14:textId="1BECE773">
      <w:pPr>
        <w:spacing w:line="360" w:lineRule="auto"/>
        <w:ind w:left="709" w:hanging="709"/>
        <w:jc w:val="both"/>
        <w:rPr>
          <w:rFonts w:ascii="Arial" w:hAnsi="Arial" w:eastAsia="Arial" w:cs="Arial"/>
          <w:sz w:val="24"/>
          <w:szCs w:val="24"/>
        </w:rPr>
      </w:pPr>
      <w:r w:rsidRPr="60EAF375">
        <w:rPr>
          <w:rFonts w:ascii="Arial" w:hAnsi="Arial" w:eastAsia="Arial" w:cs="Arial"/>
          <w:sz w:val="24"/>
          <w:szCs w:val="24"/>
        </w:rPr>
        <w:t xml:space="preserve">López, M. R., Torrado, C. J., Galán, C. H., Ocampo, M. D. R. B., Cohen, A. M. S., &amp; de Martínez, M. D. P. M. (2017). Violencia intrafamiliar desde la perspectiva de género: Discurso de víctimas y agresores. </w:t>
      </w:r>
      <w:r w:rsidRPr="60EAF375">
        <w:rPr>
          <w:rFonts w:ascii="Arial" w:hAnsi="Arial" w:eastAsia="Arial" w:cs="Arial"/>
          <w:i/>
          <w:iCs/>
          <w:sz w:val="24"/>
          <w:szCs w:val="24"/>
        </w:rPr>
        <w:t>Documentos de Trabajo Social: Revista de Trabajo y Acción Social, (59)</w:t>
      </w:r>
      <w:r w:rsidRPr="60EAF375">
        <w:rPr>
          <w:rFonts w:ascii="Arial" w:hAnsi="Arial" w:eastAsia="Arial" w:cs="Arial"/>
          <w:sz w:val="24"/>
          <w:szCs w:val="24"/>
        </w:rPr>
        <w:t xml:space="preserve">, 233-258. </w:t>
      </w:r>
    </w:p>
    <w:p w:rsidR="069B375A" w:rsidP="206C2CE6" w:rsidRDefault="2406114B" w14:paraId="5894668C" w14:textId="4658712A">
      <w:pPr>
        <w:spacing w:line="360" w:lineRule="auto"/>
        <w:ind w:left="709" w:hanging="709"/>
        <w:jc w:val="both"/>
        <w:rPr>
          <w:rFonts w:ascii="Arial" w:hAnsi="Arial" w:eastAsia="Arial" w:cs="Arial"/>
          <w:sz w:val="24"/>
          <w:szCs w:val="24"/>
        </w:rPr>
      </w:pPr>
      <w:proofErr w:type="spellStart"/>
      <w:r w:rsidRPr="60EAF375">
        <w:rPr>
          <w:rFonts w:ascii="Arial" w:hAnsi="Arial" w:eastAsia="Arial" w:cs="Arial"/>
          <w:sz w:val="24"/>
          <w:szCs w:val="24"/>
        </w:rPr>
        <w:t>Masache</w:t>
      </w:r>
      <w:proofErr w:type="spellEnd"/>
      <w:r w:rsidRPr="60EAF375">
        <w:rPr>
          <w:rFonts w:ascii="Arial" w:hAnsi="Arial" w:eastAsia="Arial" w:cs="Arial"/>
          <w:sz w:val="24"/>
          <w:szCs w:val="24"/>
        </w:rPr>
        <w:t xml:space="preserve">, J. A. V., Zurita, I. N., Vicuña, D. T., &amp; Álvarez, J. C. E. (2020). La vulneración de derechos del presunto agresor en la violencia intrafamiliar. </w:t>
      </w:r>
      <w:proofErr w:type="spellStart"/>
      <w:r w:rsidRPr="60EAF375">
        <w:rPr>
          <w:rFonts w:ascii="Arial" w:hAnsi="Arial" w:eastAsia="Arial" w:cs="Arial"/>
          <w:i/>
          <w:iCs/>
          <w:sz w:val="24"/>
          <w:szCs w:val="24"/>
        </w:rPr>
        <w:t>Iustitia</w:t>
      </w:r>
      <w:proofErr w:type="spellEnd"/>
      <w:r w:rsidRPr="60EAF375">
        <w:rPr>
          <w:rFonts w:ascii="Arial" w:hAnsi="Arial" w:eastAsia="Arial" w:cs="Arial"/>
          <w:i/>
          <w:iCs/>
          <w:sz w:val="24"/>
          <w:szCs w:val="24"/>
        </w:rPr>
        <w:t xml:space="preserve"> </w:t>
      </w:r>
      <w:proofErr w:type="spellStart"/>
      <w:r w:rsidRPr="60EAF375">
        <w:rPr>
          <w:rFonts w:ascii="Arial" w:hAnsi="Arial" w:eastAsia="Arial" w:cs="Arial"/>
          <w:i/>
          <w:iCs/>
          <w:sz w:val="24"/>
          <w:szCs w:val="24"/>
        </w:rPr>
        <w:t>Socialis</w:t>
      </w:r>
      <w:proofErr w:type="spellEnd"/>
      <w:r w:rsidRPr="60EAF375">
        <w:rPr>
          <w:rFonts w:ascii="Arial" w:hAnsi="Arial" w:eastAsia="Arial" w:cs="Arial"/>
          <w:i/>
          <w:iCs/>
          <w:sz w:val="24"/>
          <w:szCs w:val="24"/>
        </w:rPr>
        <w:t>: Revista Arbitrada de Ciencias Jurídicas y Criminalísticas, 5</w:t>
      </w:r>
      <w:r w:rsidRPr="60EAF375">
        <w:rPr>
          <w:rFonts w:ascii="Arial" w:hAnsi="Arial" w:eastAsia="Arial" w:cs="Arial"/>
          <w:sz w:val="24"/>
          <w:szCs w:val="24"/>
        </w:rPr>
        <w:t xml:space="preserve">(8), 446-464. </w:t>
      </w:r>
    </w:p>
    <w:p w:rsidR="0E986DDC" w:rsidP="206C2CE6" w:rsidRDefault="0E986DDC" w14:paraId="774B8ED7" w14:textId="0D6FD19B">
      <w:pPr>
        <w:spacing w:line="360" w:lineRule="auto"/>
        <w:ind w:left="709" w:hanging="709"/>
        <w:jc w:val="both"/>
        <w:rPr>
          <w:rFonts w:ascii="Arial" w:hAnsi="Arial" w:eastAsia="Arial" w:cs="Arial"/>
          <w:sz w:val="24"/>
          <w:szCs w:val="24"/>
          <w:lang w:val="es-MX"/>
        </w:rPr>
      </w:pPr>
      <w:r w:rsidRPr="60EAF375">
        <w:rPr>
          <w:rFonts w:ascii="Arial" w:hAnsi="Arial" w:eastAsia="Arial" w:cs="Arial"/>
          <w:sz w:val="24"/>
          <w:szCs w:val="24"/>
        </w:rPr>
        <w:t xml:space="preserve">Molina, E (2019). Factores de riesgo y consecuencias de la violencia de género en Colombia. </w:t>
      </w:r>
      <w:r w:rsidRPr="60EAF375">
        <w:rPr>
          <w:rFonts w:ascii="Arial" w:hAnsi="Arial" w:eastAsia="Arial" w:cs="Arial"/>
          <w:i/>
          <w:iCs/>
          <w:sz w:val="24"/>
          <w:szCs w:val="24"/>
        </w:rPr>
        <w:t>Tempus Psicológico</w:t>
      </w:r>
      <w:r w:rsidRPr="60EAF375">
        <w:rPr>
          <w:rFonts w:ascii="Arial" w:hAnsi="Arial" w:eastAsia="Arial" w:cs="Arial"/>
          <w:sz w:val="24"/>
          <w:szCs w:val="24"/>
          <w:lang w:val="es-MX"/>
        </w:rPr>
        <w:t>, 2(1), 15-36.</w:t>
      </w:r>
    </w:p>
    <w:p w:rsidR="069B375A" w:rsidP="206C2CE6" w:rsidRDefault="069B375A" w14:paraId="409BEAAD" w14:textId="76F9A852">
      <w:pPr>
        <w:spacing w:line="360" w:lineRule="auto"/>
        <w:ind w:left="709" w:hanging="709"/>
        <w:jc w:val="both"/>
        <w:rPr>
          <w:rFonts w:ascii="Arial" w:hAnsi="Arial" w:eastAsia="Arial" w:cs="Arial"/>
          <w:sz w:val="24"/>
          <w:szCs w:val="24"/>
        </w:rPr>
      </w:pPr>
      <w:r w:rsidRPr="60EAF375">
        <w:rPr>
          <w:rFonts w:ascii="Arial" w:hAnsi="Arial" w:eastAsia="Arial" w:cs="Arial"/>
          <w:sz w:val="24"/>
          <w:szCs w:val="24"/>
        </w:rPr>
        <w:t>OMEG, Secretaría Distrital de la Mujer. (2024). Resultados modelo estadístico de regresión lineal para la identificación de factores de riesgo y protección para la violencia intrafamiliar en Bogotá. https://omeg.sdmujer.gov.co/phocadownload/2024/InformeVIFBogota.pdf</w:t>
      </w:r>
    </w:p>
    <w:p w:rsidR="069B375A" w:rsidP="206C2CE6" w:rsidRDefault="134C2C6A" w14:paraId="7047425F" w14:textId="2C0CBEAB">
      <w:pPr>
        <w:spacing w:line="360" w:lineRule="auto"/>
        <w:ind w:left="709" w:hanging="709"/>
        <w:jc w:val="both"/>
        <w:rPr>
          <w:rFonts w:ascii="Arial" w:hAnsi="Arial" w:eastAsia="Arial" w:cs="Arial"/>
          <w:sz w:val="24"/>
          <w:szCs w:val="24"/>
        </w:rPr>
      </w:pPr>
      <w:r w:rsidRPr="60EAF375">
        <w:rPr>
          <w:rFonts w:ascii="Arial" w:hAnsi="Arial" w:eastAsia="Arial" w:cs="Arial"/>
          <w:sz w:val="24"/>
          <w:szCs w:val="24"/>
        </w:rPr>
        <w:t xml:space="preserve">Ordóñez Espinoza, J. G., &amp; Álvarez </w:t>
      </w:r>
      <w:proofErr w:type="spellStart"/>
      <w:r w:rsidRPr="60EAF375">
        <w:rPr>
          <w:rFonts w:ascii="Arial" w:hAnsi="Arial" w:eastAsia="Arial" w:cs="Arial"/>
          <w:sz w:val="24"/>
          <w:szCs w:val="24"/>
        </w:rPr>
        <w:t>Saquinaula</w:t>
      </w:r>
      <w:proofErr w:type="spellEnd"/>
      <w:r w:rsidRPr="60EAF375">
        <w:rPr>
          <w:rFonts w:ascii="Arial" w:hAnsi="Arial" w:eastAsia="Arial" w:cs="Arial"/>
          <w:sz w:val="24"/>
          <w:szCs w:val="24"/>
        </w:rPr>
        <w:t xml:space="preserve">, D. F. (2022). Terapia cognitivo conductual en personas privadas de la libertad por </w:t>
      </w:r>
      <w:proofErr w:type="spellStart"/>
      <w:r w:rsidRPr="60EAF375">
        <w:rPr>
          <w:rFonts w:ascii="Arial" w:hAnsi="Arial" w:eastAsia="Arial" w:cs="Arial"/>
          <w:sz w:val="24"/>
          <w:szCs w:val="24"/>
        </w:rPr>
        <w:t>celopatía</w:t>
      </w:r>
      <w:proofErr w:type="spellEnd"/>
      <w:r w:rsidRPr="60EAF375">
        <w:rPr>
          <w:rFonts w:ascii="Arial" w:hAnsi="Arial" w:eastAsia="Arial" w:cs="Arial"/>
          <w:sz w:val="24"/>
          <w:szCs w:val="24"/>
        </w:rPr>
        <w:t xml:space="preserve"> y maltrato intrafamiliar. </w:t>
      </w:r>
      <w:r w:rsidRPr="60EAF375">
        <w:rPr>
          <w:rFonts w:ascii="Arial" w:hAnsi="Arial" w:eastAsia="Arial" w:cs="Arial"/>
          <w:i/>
          <w:iCs/>
          <w:sz w:val="24"/>
          <w:szCs w:val="24"/>
        </w:rPr>
        <w:t xml:space="preserve">Pro </w:t>
      </w:r>
      <w:proofErr w:type="spellStart"/>
      <w:r w:rsidRPr="60EAF375">
        <w:rPr>
          <w:rFonts w:ascii="Arial" w:hAnsi="Arial" w:eastAsia="Arial" w:cs="Arial"/>
          <w:i/>
          <w:iCs/>
          <w:sz w:val="24"/>
          <w:szCs w:val="24"/>
        </w:rPr>
        <w:t>Sciences</w:t>
      </w:r>
      <w:proofErr w:type="spellEnd"/>
      <w:r w:rsidRPr="60EAF375">
        <w:rPr>
          <w:rFonts w:ascii="Arial" w:hAnsi="Arial" w:eastAsia="Arial" w:cs="Arial"/>
          <w:i/>
          <w:iCs/>
          <w:sz w:val="24"/>
          <w:szCs w:val="24"/>
        </w:rPr>
        <w:t>: Revista De Producción, Ciencias E Investigación, 6</w:t>
      </w:r>
      <w:r w:rsidRPr="60EAF375">
        <w:rPr>
          <w:rFonts w:ascii="Arial" w:hAnsi="Arial" w:eastAsia="Arial" w:cs="Arial"/>
          <w:sz w:val="24"/>
          <w:szCs w:val="24"/>
        </w:rPr>
        <w:t xml:space="preserve">(42), 337-350. https://doi.org/10.29018/issn.2588-1000vol6iss42.2022pp337-350 </w:t>
      </w:r>
    </w:p>
    <w:p w:rsidR="575674CC" w:rsidP="206C2CE6" w:rsidRDefault="575674CC" w14:paraId="4C6BCA77" w14:textId="45650BC8">
      <w:pPr>
        <w:spacing w:line="360" w:lineRule="auto"/>
        <w:ind w:left="709" w:hanging="709"/>
        <w:jc w:val="both"/>
        <w:rPr>
          <w:rFonts w:ascii="Arial" w:hAnsi="Arial" w:eastAsia="Arial" w:cs="Arial"/>
          <w:sz w:val="24"/>
          <w:szCs w:val="24"/>
        </w:rPr>
      </w:pPr>
      <w:r w:rsidRPr="60EAF375">
        <w:rPr>
          <w:rFonts w:ascii="Arial" w:hAnsi="Arial" w:eastAsia="Arial" w:cs="Arial"/>
          <w:sz w:val="24"/>
          <w:szCs w:val="24"/>
        </w:rPr>
        <w:t xml:space="preserve">Pineda Duque, J., &amp; Otero Peña, L. (2004). "Género, violencia intrafamiliar e intervención pública en Colombia". Revista de Estudios Sociales, (17), 19-31. </w:t>
      </w:r>
    </w:p>
    <w:p w:rsidR="145A24D2" w:rsidP="206C2CE6" w:rsidRDefault="145A24D2" w14:paraId="2DBE1C1F" w14:textId="3E498ADF">
      <w:pPr>
        <w:spacing w:line="360" w:lineRule="auto"/>
        <w:ind w:left="709" w:hanging="709"/>
        <w:jc w:val="both"/>
        <w:rPr>
          <w:rFonts w:ascii="Arial" w:hAnsi="Arial" w:eastAsia="Arial" w:cs="Arial"/>
          <w:sz w:val="24"/>
          <w:szCs w:val="24"/>
        </w:rPr>
      </w:pPr>
      <w:r w:rsidRPr="60EAF375">
        <w:rPr>
          <w:rFonts w:ascii="Arial" w:hAnsi="Arial" w:eastAsia="Arial" w:cs="Arial"/>
          <w:sz w:val="24"/>
          <w:szCs w:val="24"/>
        </w:rPr>
        <w:t>Programa Distrital Justicia Juvenil Restaurativa (2024, septiembre 27).</w:t>
      </w:r>
      <w:r w:rsidRPr="60EAF375">
        <w:rPr>
          <w:rFonts w:ascii="Arial" w:hAnsi="Arial" w:eastAsia="Arial" w:cs="Arial"/>
          <w:i/>
          <w:iCs/>
          <w:sz w:val="24"/>
          <w:szCs w:val="24"/>
        </w:rPr>
        <w:t xml:space="preserve">Solicitud de información sobre procedimientos administrativos </w:t>
      </w:r>
      <w:r w:rsidRPr="60EAF375">
        <w:rPr>
          <w:rFonts w:ascii="Arial" w:hAnsi="Arial" w:eastAsia="Arial" w:cs="Arial"/>
          <w:sz w:val="24"/>
          <w:szCs w:val="24"/>
        </w:rPr>
        <w:t>[Derecho de petición]. Dirección de Políticas y Estrategia de la Fiscalía.</w:t>
      </w:r>
    </w:p>
    <w:p w:rsidR="069B375A" w:rsidP="206C2CE6" w:rsidRDefault="5ED08C40" w14:paraId="6BE94B53" w14:textId="04A73FDB">
      <w:pPr>
        <w:spacing w:line="360" w:lineRule="auto"/>
        <w:ind w:left="709" w:hanging="709"/>
        <w:jc w:val="both"/>
        <w:rPr>
          <w:rFonts w:ascii="Arial" w:hAnsi="Arial" w:eastAsia="Arial" w:cs="Arial"/>
          <w:sz w:val="24"/>
          <w:szCs w:val="24"/>
        </w:rPr>
      </w:pPr>
      <w:r w:rsidRPr="60EAF375">
        <w:rPr>
          <w:rFonts w:ascii="Arial" w:hAnsi="Arial" w:eastAsia="Arial" w:cs="Arial"/>
          <w:sz w:val="24"/>
          <w:szCs w:val="24"/>
        </w:rPr>
        <w:t xml:space="preserve">Ramírez, M. P., </w:t>
      </w:r>
      <w:proofErr w:type="spellStart"/>
      <w:r w:rsidRPr="60EAF375">
        <w:rPr>
          <w:rFonts w:ascii="Arial" w:hAnsi="Arial" w:eastAsia="Arial" w:cs="Arial"/>
          <w:sz w:val="24"/>
          <w:szCs w:val="24"/>
        </w:rPr>
        <w:t>Framís</w:t>
      </w:r>
      <w:proofErr w:type="spellEnd"/>
      <w:r w:rsidRPr="60EAF375">
        <w:rPr>
          <w:rFonts w:ascii="Arial" w:hAnsi="Arial" w:eastAsia="Arial" w:cs="Arial"/>
          <w:sz w:val="24"/>
          <w:szCs w:val="24"/>
        </w:rPr>
        <w:t xml:space="preserve">, A. G. S., &amp; de Juan Espinosa, M. (2013). Evaluación de la eficacia del programa de tratamiento con agresores de pareja (PRIA) en la comunidad. </w:t>
      </w:r>
      <w:proofErr w:type="spellStart"/>
      <w:r w:rsidRPr="60EAF375">
        <w:rPr>
          <w:rFonts w:ascii="Arial" w:hAnsi="Arial" w:eastAsia="Arial" w:cs="Arial"/>
          <w:i/>
          <w:iCs/>
          <w:sz w:val="24"/>
          <w:szCs w:val="24"/>
        </w:rPr>
        <w:t>Psychosocial</w:t>
      </w:r>
      <w:proofErr w:type="spellEnd"/>
      <w:r w:rsidRPr="60EAF375">
        <w:rPr>
          <w:rFonts w:ascii="Arial" w:hAnsi="Arial" w:eastAsia="Arial" w:cs="Arial"/>
          <w:i/>
          <w:iCs/>
          <w:sz w:val="24"/>
          <w:szCs w:val="24"/>
        </w:rPr>
        <w:t xml:space="preserve"> </w:t>
      </w:r>
      <w:proofErr w:type="spellStart"/>
      <w:r w:rsidRPr="60EAF375">
        <w:rPr>
          <w:rFonts w:ascii="Arial" w:hAnsi="Arial" w:eastAsia="Arial" w:cs="Arial"/>
          <w:i/>
          <w:iCs/>
          <w:sz w:val="24"/>
          <w:szCs w:val="24"/>
        </w:rPr>
        <w:t>Intervention</w:t>
      </w:r>
      <w:proofErr w:type="spellEnd"/>
      <w:r w:rsidRPr="60EAF375">
        <w:rPr>
          <w:rFonts w:ascii="Arial" w:hAnsi="Arial" w:eastAsia="Arial" w:cs="Arial"/>
          <w:i/>
          <w:iCs/>
          <w:sz w:val="24"/>
          <w:szCs w:val="24"/>
        </w:rPr>
        <w:t>, 22</w:t>
      </w:r>
      <w:r w:rsidRPr="60EAF375">
        <w:rPr>
          <w:rFonts w:ascii="Arial" w:hAnsi="Arial" w:eastAsia="Arial" w:cs="Arial"/>
          <w:sz w:val="24"/>
          <w:szCs w:val="24"/>
        </w:rPr>
        <w:t xml:space="preserve">(2), 105-114. </w:t>
      </w:r>
    </w:p>
    <w:p w:rsidR="29221E8E" w:rsidP="206C2CE6" w:rsidRDefault="29221E8E" w14:paraId="50FFDAF6" w14:textId="3C1E7882">
      <w:pPr>
        <w:spacing w:line="360" w:lineRule="auto"/>
        <w:ind w:left="709" w:hanging="709"/>
        <w:jc w:val="both"/>
        <w:rPr>
          <w:rFonts w:ascii="Arial" w:hAnsi="Arial" w:eastAsia="Arial" w:cs="Arial"/>
          <w:sz w:val="24"/>
          <w:szCs w:val="24"/>
        </w:rPr>
      </w:pPr>
      <w:r w:rsidRPr="60EAF375">
        <w:rPr>
          <w:rFonts w:ascii="Arial" w:hAnsi="Arial" w:eastAsia="Arial" w:cs="Arial"/>
          <w:sz w:val="24"/>
          <w:szCs w:val="24"/>
        </w:rPr>
        <w:t>Ribero, R., &amp; Sánchez, F. (2004). Determinantes, efectos y costos de la violencia intrafamiliar en Colombia. Documento CEDE 2004-44, Universidad de los Andes.</w:t>
      </w:r>
    </w:p>
    <w:p w:rsidR="069B375A" w:rsidP="206C2CE6" w:rsidRDefault="5ED08C40" w14:paraId="14B5EE12" w14:textId="501C691E">
      <w:pPr>
        <w:spacing w:line="360" w:lineRule="auto"/>
        <w:ind w:left="709" w:hanging="709"/>
        <w:jc w:val="both"/>
        <w:rPr>
          <w:rFonts w:ascii="Arial" w:hAnsi="Arial" w:eastAsia="Arial" w:cs="Arial"/>
          <w:sz w:val="24"/>
          <w:szCs w:val="24"/>
        </w:rPr>
      </w:pPr>
      <w:r w:rsidRPr="60EAF375">
        <w:rPr>
          <w:rFonts w:ascii="Arial" w:hAnsi="Arial" w:eastAsia="Arial" w:cs="Arial"/>
          <w:sz w:val="24"/>
          <w:szCs w:val="24"/>
        </w:rPr>
        <w:t xml:space="preserve">Rodríguez </w:t>
      </w:r>
      <w:proofErr w:type="spellStart"/>
      <w:r w:rsidRPr="60EAF375">
        <w:rPr>
          <w:rFonts w:ascii="Arial" w:hAnsi="Arial" w:eastAsia="Arial" w:cs="Arial"/>
          <w:sz w:val="24"/>
          <w:szCs w:val="24"/>
        </w:rPr>
        <w:t>Cely</w:t>
      </w:r>
      <w:proofErr w:type="spellEnd"/>
      <w:r w:rsidRPr="60EAF375">
        <w:rPr>
          <w:rFonts w:ascii="Arial" w:hAnsi="Arial" w:eastAsia="Arial" w:cs="Arial"/>
          <w:sz w:val="24"/>
          <w:szCs w:val="24"/>
        </w:rPr>
        <w:t xml:space="preserve">, L. A., Padilla </w:t>
      </w:r>
      <w:proofErr w:type="spellStart"/>
      <w:r w:rsidRPr="60EAF375">
        <w:rPr>
          <w:rFonts w:ascii="Arial" w:hAnsi="Arial" w:eastAsia="Arial" w:cs="Arial"/>
          <w:sz w:val="24"/>
          <w:szCs w:val="24"/>
        </w:rPr>
        <w:t>Villarraga</w:t>
      </w:r>
      <w:proofErr w:type="spellEnd"/>
      <w:r w:rsidRPr="60EAF375">
        <w:rPr>
          <w:rFonts w:ascii="Arial" w:hAnsi="Arial" w:eastAsia="Arial" w:cs="Arial"/>
          <w:sz w:val="24"/>
          <w:szCs w:val="24"/>
        </w:rPr>
        <w:t xml:space="preserve">, A., Rodríguez, L. S., &amp; Díaz Colorado, F. (2010). Análisis de la justicia restaurativa para atender casos de violencia intrafamiliar en el Centro de Atención Integral a Víctimas de Violencia Intrafamiliar (CAVIF) de la Fiscalía General de la Nación, Colombia. </w:t>
      </w:r>
      <w:r w:rsidRPr="60EAF375">
        <w:rPr>
          <w:rFonts w:ascii="Arial" w:hAnsi="Arial" w:eastAsia="Arial" w:cs="Arial"/>
          <w:i/>
          <w:iCs/>
          <w:sz w:val="24"/>
          <w:szCs w:val="24"/>
        </w:rPr>
        <w:t>Diversitas: Perspectivas en Psicología, 6</w:t>
      </w:r>
      <w:r w:rsidRPr="60EAF375">
        <w:rPr>
          <w:rFonts w:ascii="Arial" w:hAnsi="Arial" w:eastAsia="Arial" w:cs="Arial"/>
          <w:sz w:val="24"/>
          <w:szCs w:val="24"/>
        </w:rPr>
        <w:t xml:space="preserve">(2), 355-373. </w:t>
      </w:r>
    </w:p>
    <w:p w:rsidR="069B375A" w:rsidP="206C2CE6" w:rsidRDefault="0AF30573" w14:paraId="167BB8CD" w14:textId="25AF57C3">
      <w:pPr>
        <w:spacing w:line="360" w:lineRule="auto"/>
        <w:ind w:left="709" w:hanging="709"/>
        <w:jc w:val="both"/>
        <w:rPr>
          <w:rFonts w:ascii="Arial" w:hAnsi="Arial" w:eastAsia="Arial" w:cs="Arial"/>
          <w:sz w:val="24"/>
          <w:szCs w:val="24"/>
        </w:rPr>
      </w:pPr>
      <w:r w:rsidRPr="60EAF375">
        <w:rPr>
          <w:rFonts w:ascii="Arial" w:hAnsi="Arial" w:eastAsia="Arial" w:cs="Arial"/>
          <w:sz w:val="24"/>
          <w:szCs w:val="24"/>
        </w:rPr>
        <w:t xml:space="preserve">Roldan, M., Bella, M., &amp; Dionisio, L. (2017). Estudio exploratorio de las características socio-demográficas y psicopatológicas de personas denunciadas como agresores de violencia doméstica en la ciudad de Córdoba. </w:t>
      </w:r>
      <w:r w:rsidRPr="60EAF375">
        <w:rPr>
          <w:rFonts w:ascii="Arial" w:hAnsi="Arial" w:eastAsia="Arial" w:cs="Arial"/>
          <w:i/>
          <w:iCs/>
          <w:sz w:val="24"/>
          <w:szCs w:val="24"/>
        </w:rPr>
        <w:t>Revista de la Facultad de Ciencias Médicas de Córdoba, 74</w:t>
      </w:r>
      <w:r w:rsidRPr="60EAF375">
        <w:rPr>
          <w:rFonts w:ascii="Arial" w:hAnsi="Arial" w:eastAsia="Arial" w:cs="Arial"/>
          <w:sz w:val="24"/>
          <w:szCs w:val="24"/>
        </w:rPr>
        <w:t>(4), 350-354.</w:t>
      </w:r>
    </w:p>
    <w:p w:rsidR="5D487142" w:rsidP="206C2CE6" w:rsidRDefault="5D487142" w14:paraId="68994B27" w14:textId="439ABDEF">
      <w:pPr>
        <w:spacing w:line="360" w:lineRule="auto"/>
        <w:ind w:left="709" w:hanging="709"/>
        <w:jc w:val="both"/>
        <w:rPr>
          <w:rFonts w:ascii="Arial" w:hAnsi="Arial" w:eastAsia="Arial" w:cs="Arial"/>
          <w:sz w:val="24"/>
          <w:szCs w:val="24"/>
        </w:rPr>
      </w:pPr>
      <w:r w:rsidRPr="60EAF375">
        <w:rPr>
          <w:rFonts w:ascii="Arial" w:hAnsi="Arial" w:eastAsia="Arial" w:cs="Arial"/>
          <w:sz w:val="24"/>
          <w:szCs w:val="24"/>
        </w:rPr>
        <w:t xml:space="preserve">Ribero, R., &amp; Sánchez, F. (2004). </w:t>
      </w:r>
      <w:r w:rsidRPr="60EAF375">
        <w:rPr>
          <w:rFonts w:ascii="Arial" w:hAnsi="Arial" w:eastAsia="Arial" w:cs="Arial"/>
          <w:i/>
          <w:iCs/>
          <w:sz w:val="24"/>
          <w:szCs w:val="24"/>
        </w:rPr>
        <w:t>Determinantes, efectos y costos de la violencia intrafamiliar en Colombia</w:t>
      </w:r>
      <w:r w:rsidRPr="60EAF375">
        <w:rPr>
          <w:rFonts w:ascii="Arial" w:hAnsi="Arial" w:eastAsia="Arial" w:cs="Arial"/>
          <w:sz w:val="24"/>
          <w:szCs w:val="24"/>
        </w:rPr>
        <w:t xml:space="preserve"> (No. 2331). Universidad de los Andes, Facultad de Economía, CEDE.</w:t>
      </w:r>
    </w:p>
    <w:p w:rsidR="75C4AFAD" w:rsidP="206C2CE6" w:rsidRDefault="75C4AFAD" w14:paraId="410E6310" w14:textId="02ED995E">
      <w:pPr>
        <w:spacing w:line="360" w:lineRule="auto"/>
        <w:ind w:left="709" w:hanging="709"/>
        <w:jc w:val="both"/>
        <w:rPr>
          <w:rFonts w:ascii="Arial" w:hAnsi="Arial" w:eastAsia="Arial" w:cs="Arial"/>
          <w:sz w:val="24"/>
          <w:szCs w:val="24"/>
        </w:rPr>
      </w:pPr>
      <w:r w:rsidRPr="60EAF375">
        <w:rPr>
          <w:rFonts w:ascii="Arial" w:hAnsi="Arial" w:eastAsia="Arial" w:cs="Arial"/>
          <w:sz w:val="24"/>
          <w:szCs w:val="24"/>
        </w:rPr>
        <w:t>Ruiz-Pérez, I., &amp; Pastor-Moreno, G. (2021). "Medidas de contención de la violencia de género durante la pandemia de COVID-19". Gaceta Sanitaria, 35(4), 389-394.</w:t>
      </w:r>
    </w:p>
    <w:p w:rsidR="069B375A" w:rsidP="206C2CE6" w:rsidRDefault="3BD67C1C" w14:paraId="0E336A7B" w14:textId="6B44B1FE">
      <w:pPr>
        <w:spacing w:line="360" w:lineRule="auto"/>
        <w:ind w:left="709" w:hanging="709"/>
        <w:jc w:val="both"/>
        <w:rPr>
          <w:rFonts w:ascii="Arial" w:hAnsi="Arial" w:eastAsia="Arial" w:cs="Arial"/>
          <w:sz w:val="24"/>
          <w:szCs w:val="24"/>
        </w:rPr>
      </w:pPr>
      <w:proofErr w:type="spellStart"/>
      <w:r w:rsidRPr="60EAF375">
        <w:rPr>
          <w:rFonts w:ascii="Arial" w:hAnsi="Arial" w:eastAsia="Arial" w:cs="Arial"/>
          <w:sz w:val="24"/>
          <w:szCs w:val="24"/>
        </w:rPr>
        <w:t>Tamarit</w:t>
      </w:r>
      <w:proofErr w:type="spellEnd"/>
      <w:r w:rsidRPr="60EAF375">
        <w:rPr>
          <w:rFonts w:ascii="Arial" w:hAnsi="Arial" w:eastAsia="Arial" w:cs="Arial"/>
          <w:sz w:val="24"/>
          <w:szCs w:val="24"/>
        </w:rPr>
        <w:t xml:space="preserve"> </w:t>
      </w:r>
      <w:proofErr w:type="spellStart"/>
      <w:r w:rsidRPr="60EAF375">
        <w:rPr>
          <w:rFonts w:ascii="Arial" w:hAnsi="Arial" w:eastAsia="Arial" w:cs="Arial"/>
          <w:sz w:val="24"/>
          <w:szCs w:val="24"/>
        </w:rPr>
        <w:t>Sumalla</w:t>
      </w:r>
      <w:proofErr w:type="spellEnd"/>
      <w:r w:rsidRPr="60EAF375">
        <w:rPr>
          <w:rFonts w:ascii="Arial" w:hAnsi="Arial" w:eastAsia="Arial" w:cs="Arial"/>
          <w:sz w:val="24"/>
          <w:szCs w:val="24"/>
        </w:rPr>
        <w:t xml:space="preserve">, J. M. (2013). El necesario impulso de la justicia restaurativa tras la Directiva europea de 2012. </w:t>
      </w:r>
      <w:proofErr w:type="spellStart"/>
      <w:r w:rsidRPr="60EAF375">
        <w:rPr>
          <w:rFonts w:ascii="Arial" w:hAnsi="Arial" w:eastAsia="Arial" w:cs="Arial"/>
          <w:i/>
          <w:iCs/>
          <w:sz w:val="24"/>
          <w:szCs w:val="24"/>
        </w:rPr>
        <w:t>Ars</w:t>
      </w:r>
      <w:proofErr w:type="spellEnd"/>
      <w:r w:rsidRPr="60EAF375">
        <w:rPr>
          <w:rFonts w:ascii="Arial" w:hAnsi="Arial" w:eastAsia="Arial" w:cs="Arial"/>
          <w:i/>
          <w:iCs/>
          <w:sz w:val="24"/>
          <w:szCs w:val="24"/>
        </w:rPr>
        <w:t xml:space="preserve"> Iuris </w:t>
      </w:r>
      <w:proofErr w:type="spellStart"/>
      <w:r w:rsidRPr="60EAF375">
        <w:rPr>
          <w:rFonts w:ascii="Arial" w:hAnsi="Arial" w:eastAsia="Arial" w:cs="Arial"/>
          <w:i/>
          <w:iCs/>
          <w:sz w:val="24"/>
          <w:szCs w:val="24"/>
        </w:rPr>
        <w:t>Salmanticensis</w:t>
      </w:r>
      <w:proofErr w:type="spellEnd"/>
      <w:r w:rsidRPr="60EAF375">
        <w:rPr>
          <w:rFonts w:ascii="Arial" w:hAnsi="Arial" w:eastAsia="Arial" w:cs="Arial"/>
          <w:i/>
          <w:iCs/>
          <w:sz w:val="24"/>
          <w:szCs w:val="24"/>
        </w:rPr>
        <w:t>, 1</w:t>
      </w:r>
      <w:r w:rsidRPr="60EAF375">
        <w:rPr>
          <w:rFonts w:ascii="Arial" w:hAnsi="Arial" w:eastAsia="Arial" w:cs="Arial"/>
          <w:sz w:val="24"/>
          <w:szCs w:val="24"/>
        </w:rPr>
        <w:t>, 139-160</w:t>
      </w:r>
    </w:p>
    <w:p w:rsidR="069B375A" w:rsidP="206C2CE6" w:rsidRDefault="069B375A" w14:paraId="207C6ABF" w14:textId="4CF36BB3">
      <w:pPr>
        <w:spacing w:line="360" w:lineRule="auto"/>
        <w:ind w:left="709" w:hanging="709"/>
        <w:jc w:val="both"/>
        <w:rPr>
          <w:rFonts w:ascii="Arial" w:hAnsi="Arial" w:eastAsia="Arial" w:cs="Arial"/>
          <w:sz w:val="24"/>
          <w:szCs w:val="24"/>
        </w:rPr>
      </w:pPr>
      <w:r w:rsidRPr="60EAF375">
        <w:rPr>
          <w:rFonts w:ascii="Arial" w:hAnsi="Arial" w:eastAsia="Arial" w:cs="Arial"/>
          <w:sz w:val="24"/>
          <w:szCs w:val="24"/>
        </w:rPr>
        <w:t xml:space="preserve">Tijeras, J. A. E., </w:t>
      </w:r>
      <w:proofErr w:type="spellStart"/>
      <w:r w:rsidRPr="60EAF375">
        <w:rPr>
          <w:rFonts w:ascii="Arial" w:hAnsi="Arial" w:eastAsia="Arial" w:cs="Arial"/>
          <w:sz w:val="24"/>
          <w:szCs w:val="24"/>
        </w:rPr>
        <w:t>Rodriguez</w:t>
      </w:r>
      <w:proofErr w:type="spellEnd"/>
      <w:r w:rsidRPr="60EAF375">
        <w:rPr>
          <w:rFonts w:ascii="Arial" w:hAnsi="Arial" w:eastAsia="Arial" w:cs="Arial"/>
          <w:sz w:val="24"/>
          <w:szCs w:val="24"/>
        </w:rPr>
        <w:t xml:space="preserve">, J. R., &amp; de Armenta, M. J. R. (2005). Teoría y descripción de la violencia doméstica: Programa terapéutico para maltratadores del ámbito familiar en el centro penitenciario de Pamplona. </w:t>
      </w:r>
      <w:r w:rsidRPr="60EAF375">
        <w:rPr>
          <w:rFonts w:ascii="Arial" w:hAnsi="Arial" w:eastAsia="Arial" w:cs="Arial"/>
          <w:i/>
          <w:iCs/>
          <w:sz w:val="24"/>
          <w:szCs w:val="24"/>
        </w:rPr>
        <w:t>Anuario de Psicología Jurídica, 15</w:t>
      </w:r>
      <w:r w:rsidRPr="60EAF375">
        <w:rPr>
          <w:rFonts w:ascii="Arial" w:hAnsi="Arial" w:eastAsia="Arial" w:cs="Arial"/>
          <w:sz w:val="24"/>
          <w:szCs w:val="24"/>
        </w:rPr>
        <w:t>, 67-95.</w:t>
      </w:r>
    </w:p>
    <w:p w:rsidR="069B375A" w:rsidP="206C2CE6" w:rsidRDefault="384ADAC7" w14:paraId="59035935" w14:textId="0A80D38A">
      <w:pPr>
        <w:spacing w:line="360" w:lineRule="auto"/>
        <w:ind w:left="709" w:hanging="709"/>
        <w:jc w:val="both"/>
        <w:rPr>
          <w:rFonts w:ascii="Arial" w:hAnsi="Arial" w:eastAsia="Arial" w:cs="Arial"/>
          <w:sz w:val="24"/>
          <w:szCs w:val="24"/>
        </w:rPr>
      </w:pPr>
      <w:r w:rsidRPr="60EAF375">
        <w:rPr>
          <w:rFonts w:ascii="Arial" w:hAnsi="Arial" w:eastAsia="Arial" w:cs="Arial"/>
          <w:sz w:val="24"/>
          <w:szCs w:val="24"/>
        </w:rPr>
        <w:t>Valdivia-</w:t>
      </w:r>
      <w:proofErr w:type="spellStart"/>
      <w:r w:rsidRPr="60EAF375">
        <w:rPr>
          <w:rFonts w:ascii="Arial" w:hAnsi="Arial" w:eastAsia="Arial" w:cs="Arial"/>
          <w:sz w:val="24"/>
          <w:szCs w:val="24"/>
        </w:rPr>
        <w:t>Devia</w:t>
      </w:r>
      <w:proofErr w:type="spellEnd"/>
      <w:r w:rsidRPr="60EAF375">
        <w:rPr>
          <w:rFonts w:ascii="Arial" w:hAnsi="Arial" w:eastAsia="Arial" w:cs="Arial"/>
          <w:sz w:val="24"/>
          <w:szCs w:val="24"/>
        </w:rPr>
        <w:t xml:space="preserve">, M., </w:t>
      </w:r>
      <w:proofErr w:type="spellStart"/>
      <w:r w:rsidRPr="60EAF375">
        <w:rPr>
          <w:rFonts w:ascii="Arial" w:hAnsi="Arial" w:eastAsia="Arial" w:cs="Arial"/>
          <w:sz w:val="24"/>
          <w:szCs w:val="24"/>
        </w:rPr>
        <w:t>Oyanedel</w:t>
      </w:r>
      <w:proofErr w:type="spellEnd"/>
      <w:r w:rsidRPr="60EAF375">
        <w:rPr>
          <w:rFonts w:ascii="Arial" w:hAnsi="Arial" w:eastAsia="Arial" w:cs="Arial"/>
          <w:sz w:val="24"/>
          <w:szCs w:val="24"/>
        </w:rPr>
        <w:t xml:space="preserve">, J. C., Andrés </w:t>
      </w:r>
      <w:proofErr w:type="spellStart"/>
      <w:r w:rsidRPr="60EAF375">
        <w:rPr>
          <w:rFonts w:ascii="Arial" w:hAnsi="Arial" w:eastAsia="Arial" w:cs="Arial"/>
          <w:sz w:val="24"/>
          <w:szCs w:val="24"/>
        </w:rPr>
        <w:t>Pueyo</w:t>
      </w:r>
      <w:proofErr w:type="spellEnd"/>
      <w:r w:rsidRPr="60EAF375">
        <w:rPr>
          <w:rFonts w:ascii="Arial" w:hAnsi="Arial" w:eastAsia="Arial" w:cs="Arial"/>
          <w:sz w:val="24"/>
          <w:szCs w:val="24"/>
        </w:rPr>
        <w:t xml:space="preserve">, A., Fuentes Araya, M., &amp; Valdivia-Monzón, M. (2021). ¿Trayectorias delictivas versátiles o especializadas? Agresores de violencia intrafamiliar. </w:t>
      </w:r>
      <w:r w:rsidRPr="60EAF375">
        <w:rPr>
          <w:rFonts w:ascii="Arial" w:hAnsi="Arial" w:eastAsia="Arial" w:cs="Arial"/>
          <w:i/>
          <w:iCs/>
          <w:sz w:val="24"/>
          <w:szCs w:val="24"/>
        </w:rPr>
        <w:t>Anuario de Psicología Jurídica, 31</w:t>
      </w:r>
      <w:r w:rsidRPr="60EAF375">
        <w:rPr>
          <w:rFonts w:ascii="Arial" w:hAnsi="Arial" w:eastAsia="Arial" w:cs="Arial"/>
          <w:sz w:val="24"/>
          <w:szCs w:val="24"/>
        </w:rPr>
        <w:t xml:space="preserve">(1), 45-54. </w:t>
      </w:r>
    </w:p>
    <w:p w:rsidR="30C4F8EE" w:rsidP="206C2CE6" w:rsidRDefault="30C4F8EE" w14:paraId="33DFC93E" w14:textId="4057CD27">
      <w:pPr>
        <w:spacing w:line="360" w:lineRule="auto"/>
        <w:ind w:left="709" w:hanging="709"/>
        <w:jc w:val="both"/>
        <w:rPr>
          <w:rFonts w:ascii="Arial" w:hAnsi="Arial" w:eastAsia="Arial" w:cs="Arial"/>
          <w:sz w:val="24"/>
          <w:szCs w:val="24"/>
        </w:rPr>
      </w:pPr>
      <w:r w:rsidRPr="60EAF375">
        <w:rPr>
          <w:rFonts w:ascii="Arial" w:hAnsi="Arial" w:eastAsia="Arial" w:cs="Arial"/>
          <w:sz w:val="24"/>
          <w:szCs w:val="24"/>
        </w:rPr>
        <w:t xml:space="preserve">Vara-Horna, A. (2019). "Los costos empresariales de la violencia contra las mujeres en el Perú". Universidad de San Martín de Porres &amp; </w:t>
      </w:r>
      <w:proofErr w:type="spellStart"/>
      <w:r w:rsidRPr="60EAF375">
        <w:rPr>
          <w:rFonts w:ascii="Arial" w:hAnsi="Arial" w:eastAsia="Arial" w:cs="Arial"/>
          <w:sz w:val="24"/>
          <w:szCs w:val="24"/>
        </w:rPr>
        <w:t>ComVoMujer</w:t>
      </w:r>
      <w:proofErr w:type="spellEnd"/>
      <w:r w:rsidRPr="60EAF375">
        <w:rPr>
          <w:rFonts w:ascii="Arial" w:hAnsi="Arial" w:eastAsia="Arial" w:cs="Arial"/>
          <w:sz w:val="24"/>
          <w:szCs w:val="24"/>
        </w:rPr>
        <w:t>/GIZ.</w:t>
      </w:r>
    </w:p>
    <w:p w:rsidR="069B375A" w:rsidP="206C2CE6" w:rsidRDefault="0AF30573" w14:paraId="474F3C7A" w14:textId="3F7553D4">
      <w:pPr>
        <w:spacing w:line="360" w:lineRule="auto"/>
        <w:ind w:left="709" w:hanging="709"/>
        <w:jc w:val="both"/>
        <w:rPr>
          <w:rFonts w:ascii="Arial" w:hAnsi="Arial" w:eastAsia="Arial" w:cs="Arial"/>
          <w:sz w:val="24"/>
          <w:szCs w:val="24"/>
        </w:rPr>
      </w:pPr>
      <w:r w:rsidRPr="60EAF375">
        <w:rPr>
          <w:rFonts w:ascii="Arial" w:hAnsi="Arial" w:eastAsia="Arial" w:cs="Arial"/>
          <w:sz w:val="24"/>
          <w:szCs w:val="24"/>
        </w:rPr>
        <w:t>Vargas, V., Lila, M., &amp; Catalá-</w:t>
      </w:r>
      <w:proofErr w:type="spellStart"/>
      <w:r w:rsidRPr="60EAF375">
        <w:rPr>
          <w:rFonts w:ascii="Arial" w:hAnsi="Arial" w:eastAsia="Arial" w:cs="Arial"/>
          <w:sz w:val="24"/>
          <w:szCs w:val="24"/>
        </w:rPr>
        <w:t>Miñana</w:t>
      </w:r>
      <w:proofErr w:type="spellEnd"/>
      <w:r w:rsidRPr="60EAF375">
        <w:rPr>
          <w:rFonts w:ascii="Arial" w:hAnsi="Arial" w:eastAsia="Arial" w:cs="Arial"/>
          <w:sz w:val="24"/>
          <w:szCs w:val="24"/>
        </w:rPr>
        <w:t xml:space="preserve">, A. (2015). ¿Influyen las diferencias culturales en los resultados de los programas de intervención con maltratadores?: Un estudio con agresores españoles y latinoamericanos. </w:t>
      </w:r>
      <w:proofErr w:type="spellStart"/>
      <w:r w:rsidRPr="60EAF375">
        <w:rPr>
          <w:rFonts w:ascii="Arial" w:hAnsi="Arial" w:eastAsia="Arial" w:cs="Arial"/>
          <w:i/>
          <w:iCs/>
          <w:sz w:val="24"/>
          <w:szCs w:val="24"/>
        </w:rPr>
        <w:t>Psychosocial</w:t>
      </w:r>
      <w:proofErr w:type="spellEnd"/>
      <w:r w:rsidRPr="60EAF375">
        <w:rPr>
          <w:rFonts w:ascii="Arial" w:hAnsi="Arial" w:eastAsia="Arial" w:cs="Arial"/>
          <w:i/>
          <w:iCs/>
          <w:sz w:val="24"/>
          <w:szCs w:val="24"/>
        </w:rPr>
        <w:t xml:space="preserve"> </w:t>
      </w:r>
      <w:proofErr w:type="spellStart"/>
      <w:r w:rsidRPr="60EAF375">
        <w:rPr>
          <w:rFonts w:ascii="Arial" w:hAnsi="Arial" w:eastAsia="Arial" w:cs="Arial"/>
          <w:i/>
          <w:iCs/>
          <w:sz w:val="24"/>
          <w:szCs w:val="24"/>
        </w:rPr>
        <w:t>Intervention</w:t>
      </w:r>
      <w:proofErr w:type="spellEnd"/>
      <w:r w:rsidRPr="60EAF375">
        <w:rPr>
          <w:rFonts w:ascii="Arial" w:hAnsi="Arial" w:eastAsia="Arial" w:cs="Arial"/>
          <w:i/>
          <w:iCs/>
          <w:sz w:val="24"/>
          <w:szCs w:val="24"/>
        </w:rPr>
        <w:t>, 24</w:t>
      </w:r>
      <w:r w:rsidRPr="60EAF375">
        <w:rPr>
          <w:rFonts w:ascii="Arial" w:hAnsi="Arial" w:eastAsia="Arial" w:cs="Arial"/>
          <w:sz w:val="24"/>
          <w:szCs w:val="24"/>
        </w:rPr>
        <w:t>(1), 41-47.</w:t>
      </w:r>
    </w:p>
    <w:p w:rsidR="655D04B6" w:rsidP="206C2CE6" w:rsidRDefault="655D04B6" w14:paraId="19A301C7" w14:textId="77FF8DC3">
      <w:pPr>
        <w:spacing w:line="360" w:lineRule="auto"/>
        <w:ind w:left="709" w:hanging="709"/>
        <w:jc w:val="both"/>
        <w:rPr>
          <w:rFonts w:ascii="Arial" w:hAnsi="Arial" w:eastAsia="Arial" w:cs="Arial"/>
          <w:sz w:val="24"/>
          <w:szCs w:val="24"/>
        </w:rPr>
      </w:pPr>
    </w:p>
    <w:p w:rsidR="20B4AAB3" w:rsidP="206C2CE6" w:rsidRDefault="20B4AAB3" w14:paraId="2A5BACC4" w14:textId="381F474C">
      <w:pPr>
        <w:spacing w:line="360" w:lineRule="auto"/>
        <w:ind w:left="709" w:hanging="709"/>
        <w:jc w:val="both"/>
        <w:rPr>
          <w:rFonts w:ascii="Arial" w:hAnsi="Arial" w:eastAsia="Arial" w:cs="Arial"/>
          <w:sz w:val="24"/>
          <w:szCs w:val="24"/>
        </w:rPr>
      </w:pPr>
    </w:p>
    <w:p w:rsidR="20B4AAB3" w:rsidP="60EAF375" w:rsidRDefault="20B4AAB3" w14:paraId="4830FB47" w14:textId="6D86375D">
      <w:pPr>
        <w:shd w:val="clear" w:color="auto" w:fill="FFFFFF" w:themeFill="background1"/>
        <w:spacing w:after="0" w:line="360" w:lineRule="auto"/>
        <w:jc w:val="both"/>
        <w:rPr>
          <w:rFonts w:ascii="Arial" w:hAnsi="Arial" w:eastAsia="Arial" w:cs="Arial"/>
          <w:sz w:val="24"/>
          <w:szCs w:val="24"/>
        </w:rPr>
      </w:pPr>
    </w:p>
    <w:p w:rsidR="20B4AAB3" w:rsidP="206C2CE6" w:rsidRDefault="20B4AAB3" w14:paraId="14DA5B54" w14:textId="49D72719">
      <w:pPr>
        <w:spacing w:line="360" w:lineRule="auto"/>
        <w:ind w:left="709" w:hanging="709"/>
        <w:jc w:val="both"/>
        <w:rPr>
          <w:rFonts w:ascii="Arial" w:hAnsi="Arial" w:eastAsia="Arial" w:cs="Arial"/>
          <w:sz w:val="24"/>
          <w:szCs w:val="24"/>
        </w:rPr>
      </w:pPr>
    </w:p>
    <w:sectPr w:rsidR="20B4AAB3" w:rsidSect="00B73A11">
      <w:pgSz w:w="12240" w:h="15840" w:orient="portrait"/>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intelligence2.xml><?xml version="1.0" encoding="utf-8"?>
<int2:intelligence xmlns:int2="http://schemas.microsoft.com/office/intelligence/2020/intelligence" xmlns:oel="http://schemas.microsoft.com/office/2019/extlst">
  <int2:observations>
    <int2:textHash int2:hashCode="phXWSxIlZsphiD" int2:id="tQz9lXs5">
      <int2:state int2:type="spell" int2:value="Rejected"/>
    </int2:textHash>
    <int2:textHash int2:hashCode="Ef+x79ijExN6KU" int2:id="533CEOaM">
      <int2:state int2:type="AugLoop_Text_Critique" int2:value="Rejected"/>
    </int2:textHash>
    <int2:textHash int2:hashCode="SRYzIZKDKK7qdz" int2:id="Vj0rs9aB">
      <int2:state int2:type="AugLoop_Text_Critique" int2:value="Rejected"/>
    </int2:textHash>
    <int2:bookmark int2:bookmarkName="_Int_L3AumJt5" int2:invalidationBookmarkName="" int2:hashCode="5Zn4DHTNgGY1DP" int2:id="1VmAI7Vk">
      <int2:state int2:type="AugLoop_Text_Critique" int2:value="Rejected"/>
    </int2:bookmark>
    <int2:bookmark int2:bookmarkName="_Int_PJgAQY8B" int2:invalidationBookmarkName="" int2:hashCode="f0FebTeP0GftYp" int2:id="qyKT6GfX">
      <int2:state int2:type="WordDesignerDefaultAnnotation" int2:value="Rejected"/>
    </int2:bookmark>
    <int2:bookmark int2:bookmarkName="_Int_eRWDZ8T3" int2:invalidationBookmarkName="" int2:hashCode="Mav6DuYQE1KSpe" int2:id="rMCOC8vF">
      <int2:state int2:type="AugLoop_Text_Critique" int2:value="Rejected"/>
    </int2:bookmark>
    <int2:bookmark int2:bookmarkName="_Int_RIQ73Oij" int2:invalidationBookmarkName="" int2:hashCode="4Bo00jJz7PiZ8O" int2:id="tOscVlpF">
      <int2:state int2:type="WordDesignerDefaultAnnotation" int2:value="Rejected"/>
    </int2:bookmark>
    <int2:bookmark int2:bookmarkName="_Int_t269D3Jx" int2:invalidationBookmarkName="" int2:hashCode="20ha7Ol9PXF99J" int2:id="vxQkBH1w">
      <int2:state int2:type="WordDesignerDefaultAnnotation" int2:value="Rejected"/>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10F8F"/>
    <w:multiLevelType w:val="hybridMultilevel"/>
    <w:tmpl w:val="FFFFFFFF"/>
    <w:lvl w:ilvl="0" w:tplc="ABB01110">
      <w:start w:val="1"/>
      <w:numFmt w:val="bullet"/>
      <w:lvlText w:val=""/>
      <w:lvlJc w:val="left"/>
      <w:pPr>
        <w:ind w:left="1428" w:hanging="360"/>
      </w:pPr>
      <w:rPr>
        <w:rFonts w:hint="default" w:ascii="Symbol" w:hAnsi="Symbol"/>
      </w:rPr>
    </w:lvl>
    <w:lvl w:ilvl="1" w:tplc="ECFE8CA4">
      <w:start w:val="1"/>
      <w:numFmt w:val="bullet"/>
      <w:lvlText w:val="o"/>
      <w:lvlJc w:val="left"/>
      <w:pPr>
        <w:ind w:left="2148" w:hanging="360"/>
      </w:pPr>
      <w:rPr>
        <w:rFonts w:hint="default" w:ascii="Courier New" w:hAnsi="Courier New"/>
      </w:rPr>
    </w:lvl>
    <w:lvl w:ilvl="2" w:tplc="F0F0D0BE">
      <w:start w:val="1"/>
      <w:numFmt w:val="bullet"/>
      <w:lvlText w:val=""/>
      <w:lvlJc w:val="left"/>
      <w:pPr>
        <w:ind w:left="2868" w:hanging="360"/>
      </w:pPr>
      <w:rPr>
        <w:rFonts w:hint="default" w:ascii="Wingdings" w:hAnsi="Wingdings"/>
      </w:rPr>
    </w:lvl>
    <w:lvl w:ilvl="3" w:tplc="9F3AFC08">
      <w:start w:val="1"/>
      <w:numFmt w:val="bullet"/>
      <w:lvlText w:val=""/>
      <w:lvlJc w:val="left"/>
      <w:pPr>
        <w:ind w:left="3588" w:hanging="360"/>
      </w:pPr>
      <w:rPr>
        <w:rFonts w:hint="default" w:ascii="Symbol" w:hAnsi="Symbol"/>
      </w:rPr>
    </w:lvl>
    <w:lvl w:ilvl="4" w:tplc="7F52D48E">
      <w:start w:val="1"/>
      <w:numFmt w:val="bullet"/>
      <w:lvlText w:val="o"/>
      <w:lvlJc w:val="left"/>
      <w:pPr>
        <w:ind w:left="4308" w:hanging="360"/>
      </w:pPr>
      <w:rPr>
        <w:rFonts w:hint="default" w:ascii="Courier New" w:hAnsi="Courier New"/>
      </w:rPr>
    </w:lvl>
    <w:lvl w:ilvl="5" w:tplc="0602C2C6">
      <w:start w:val="1"/>
      <w:numFmt w:val="bullet"/>
      <w:lvlText w:val=""/>
      <w:lvlJc w:val="left"/>
      <w:pPr>
        <w:ind w:left="5028" w:hanging="360"/>
      </w:pPr>
      <w:rPr>
        <w:rFonts w:hint="default" w:ascii="Wingdings" w:hAnsi="Wingdings"/>
      </w:rPr>
    </w:lvl>
    <w:lvl w:ilvl="6" w:tplc="C78A8254">
      <w:start w:val="1"/>
      <w:numFmt w:val="bullet"/>
      <w:lvlText w:val=""/>
      <w:lvlJc w:val="left"/>
      <w:pPr>
        <w:ind w:left="5748" w:hanging="360"/>
      </w:pPr>
      <w:rPr>
        <w:rFonts w:hint="default" w:ascii="Symbol" w:hAnsi="Symbol"/>
      </w:rPr>
    </w:lvl>
    <w:lvl w:ilvl="7" w:tplc="2FCE6B12">
      <w:start w:val="1"/>
      <w:numFmt w:val="bullet"/>
      <w:lvlText w:val="o"/>
      <w:lvlJc w:val="left"/>
      <w:pPr>
        <w:ind w:left="6468" w:hanging="360"/>
      </w:pPr>
      <w:rPr>
        <w:rFonts w:hint="default" w:ascii="Courier New" w:hAnsi="Courier New"/>
      </w:rPr>
    </w:lvl>
    <w:lvl w:ilvl="8" w:tplc="F9E8EC5E">
      <w:start w:val="1"/>
      <w:numFmt w:val="bullet"/>
      <w:lvlText w:val=""/>
      <w:lvlJc w:val="left"/>
      <w:pPr>
        <w:ind w:left="7188" w:hanging="360"/>
      </w:pPr>
      <w:rPr>
        <w:rFonts w:hint="default" w:ascii="Wingdings" w:hAnsi="Wingdings"/>
      </w:rPr>
    </w:lvl>
  </w:abstractNum>
  <w:abstractNum w:abstractNumId="1" w15:restartNumberingAfterBreak="0">
    <w:nsid w:val="133E8220"/>
    <w:multiLevelType w:val="hybridMultilevel"/>
    <w:tmpl w:val="FFFFFFFF"/>
    <w:lvl w:ilvl="0" w:tplc="F6ACF030">
      <w:start w:val="1"/>
      <w:numFmt w:val="lowerLetter"/>
      <w:lvlText w:val="%1."/>
      <w:lvlJc w:val="left"/>
      <w:pPr>
        <w:ind w:left="720" w:hanging="360"/>
      </w:pPr>
      <w:rPr>
        <w:rFonts w:hint="default" w:ascii="Arial" w:hAnsi="Arial"/>
      </w:rPr>
    </w:lvl>
    <w:lvl w:ilvl="1" w:tplc="1D768BF4">
      <w:start w:val="1"/>
      <w:numFmt w:val="lowerLetter"/>
      <w:lvlText w:val="%2."/>
      <w:lvlJc w:val="left"/>
      <w:pPr>
        <w:ind w:left="1440" w:hanging="360"/>
      </w:pPr>
    </w:lvl>
    <w:lvl w:ilvl="2" w:tplc="8CD8C846">
      <w:start w:val="1"/>
      <w:numFmt w:val="lowerRoman"/>
      <w:lvlText w:val="%3."/>
      <w:lvlJc w:val="right"/>
      <w:pPr>
        <w:ind w:left="2160" w:hanging="180"/>
      </w:pPr>
    </w:lvl>
    <w:lvl w:ilvl="3" w:tplc="CD2EF638">
      <w:start w:val="1"/>
      <w:numFmt w:val="decimal"/>
      <w:lvlText w:val="%4."/>
      <w:lvlJc w:val="left"/>
      <w:pPr>
        <w:ind w:left="2880" w:hanging="360"/>
      </w:pPr>
    </w:lvl>
    <w:lvl w:ilvl="4" w:tplc="560ECFEE">
      <w:start w:val="1"/>
      <w:numFmt w:val="lowerLetter"/>
      <w:lvlText w:val="%5."/>
      <w:lvlJc w:val="left"/>
      <w:pPr>
        <w:ind w:left="3600" w:hanging="360"/>
      </w:pPr>
    </w:lvl>
    <w:lvl w:ilvl="5" w:tplc="55947A8C">
      <w:start w:val="1"/>
      <w:numFmt w:val="lowerRoman"/>
      <w:lvlText w:val="%6."/>
      <w:lvlJc w:val="right"/>
      <w:pPr>
        <w:ind w:left="4320" w:hanging="180"/>
      </w:pPr>
    </w:lvl>
    <w:lvl w:ilvl="6" w:tplc="D8DE3538">
      <w:start w:val="1"/>
      <w:numFmt w:val="decimal"/>
      <w:lvlText w:val="%7."/>
      <w:lvlJc w:val="left"/>
      <w:pPr>
        <w:ind w:left="5040" w:hanging="360"/>
      </w:pPr>
    </w:lvl>
    <w:lvl w:ilvl="7" w:tplc="375AFC9C">
      <w:start w:val="1"/>
      <w:numFmt w:val="lowerLetter"/>
      <w:lvlText w:val="%8."/>
      <w:lvlJc w:val="left"/>
      <w:pPr>
        <w:ind w:left="5760" w:hanging="360"/>
      </w:pPr>
    </w:lvl>
    <w:lvl w:ilvl="8" w:tplc="BABC7902">
      <w:start w:val="1"/>
      <w:numFmt w:val="lowerRoman"/>
      <w:lvlText w:val="%9."/>
      <w:lvlJc w:val="right"/>
      <w:pPr>
        <w:ind w:left="6480" w:hanging="180"/>
      </w:pPr>
    </w:lvl>
  </w:abstractNum>
  <w:abstractNum w:abstractNumId="2" w15:restartNumberingAfterBreak="0">
    <w:nsid w:val="1E30A65F"/>
    <w:multiLevelType w:val="hybridMultilevel"/>
    <w:tmpl w:val="FFFFFFFF"/>
    <w:lvl w:ilvl="0" w:tplc="9B188482">
      <w:start w:val="1"/>
      <w:numFmt w:val="decimal"/>
      <w:lvlText w:val="%1."/>
      <w:lvlJc w:val="left"/>
      <w:pPr>
        <w:ind w:left="720" w:hanging="360"/>
      </w:pPr>
    </w:lvl>
    <w:lvl w:ilvl="1" w:tplc="DE2022AE">
      <w:start w:val="1"/>
      <w:numFmt w:val="lowerLetter"/>
      <w:lvlText w:val="%2."/>
      <w:lvlJc w:val="left"/>
      <w:pPr>
        <w:ind w:left="1440" w:hanging="360"/>
      </w:pPr>
    </w:lvl>
    <w:lvl w:ilvl="2" w:tplc="B56A25AE">
      <w:start w:val="1"/>
      <w:numFmt w:val="lowerRoman"/>
      <w:lvlText w:val="%3."/>
      <w:lvlJc w:val="right"/>
      <w:pPr>
        <w:ind w:left="2160" w:hanging="180"/>
      </w:pPr>
    </w:lvl>
    <w:lvl w:ilvl="3" w:tplc="F5685E08">
      <w:start w:val="1"/>
      <w:numFmt w:val="decimal"/>
      <w:lvlText w:val="%4."/>
      <w:lvlJc w:val="left"/>
      <w:pPr>
        <w:ind w:left="2880" w:hanging="360"/>
      </w:pPr>
    </w:lvl>
    <w:lvl w:ilvl="4" w:tplc="C254BEC6">
      <w:start w:val="1"/>
      <w:numFmt w:val="lowerLetter"/>
      <w:lvlText w:val="%5."/>
      <w:lvlJc w:val="left"/>
      <w:pPr>
        <w:ind w:left="3600" w:hanging="360"/>
      </w:pPr>
    </w:lvl>
    <w:lvl w:ilvl="5" w:tplc="4F56FAD4">
      <w:start w:val="1"/>
      <w:numFmt w:val="lowerRoman"/>
      <w:lvlText w:val="%6."/>
      <w:lvlJc w:val="right"/>
      <w:pPr>
        <w:ind w:left="4320" w:hanging="180"/>
      </w:pPr>
    </w:lvl>
    <w:lvl w:ilvl="6" w:tplc="1862A71A">
      <w:start w:val="1"/>
      <w:numFmt w:val="decimal"/>
      <w:lvlText w:val="%7."/>
      <w:lvlJc w:val="left"/>
      <w:pPr>
        <w:ind w:left="5040" w:hanging="360"/>
      </w:pPr>
    </w:lvl>
    <w:lvl w:ilvl="7" w:tplc="1FC07724">
      <w:start w:val="1"/>
      <w:numFmt w:val="lowerLetter"/>
      <w:lvlText w:val="%8."/>
      <w:lvlJc w:val="left"/>
      <w:pPr>
        <w:ind w:left="5760" w:hanging="360"/>
      </w:pPr>
    </w:lvl>
    <w:lvl w:ilvl="8" w:tplc="2746F11E">
      <w:start w:val="1"/>
      <w:numFmt w:val="lowerRoman"/>
      <w:lvlText w:val="%9."/>
      <w:lvlJc w:val="right"/>
      <w:pPr>
        <w:ind w:left="6480" w:hanging="180"/>
      </w:pPr>
    </w:lvl>
  </w:abstractNum>
  <w:abstractNum w:abstractNumId="3" w15:restartNumberingAfterBreak="0">
    <w:nsid w:val="231A4995"/>
    <w:multiLevelType w:val="hybridMultilevel"/>
    <w:tmpl w:val="FFFFFFFF"/>
    <w:lvl w:ilvl="0" w:tplc="497A2CE0">
      <w:start w:val="1"/>
      <w:numFmt w:val="bullet"/>
      <w:lvlText w:val=""/>
      <w:lvlJc w:val="left"/>
      <w:pPr>
        <w:ind w:left="720" w:hanging="360"/>
      </w:pPr>
      <w:rPr>
        <w:rFonts w:hint="default" w:ascii="Symbol" w:hAnsi="Symbol"/>
      </w:rPr>
    </w:lvl>
    <w:lvl w:ilvl="1" w:tplc="DEDE9316">
      <w:start w:val="1"/>
      <w:numFmt w:val="bullet"/>
      <w:lvlText w:val="o"/>
      <w:lvlJc w:val="left"/>
      <w:pPr>
        <w:ind w:left="1440" w:hanging="360"/>
      </w:pPr>
      <w:rPr>
        <w:rFonts w:hint="default" w:ascii="Courier New" w:hAnsi="Courier New"/>
      </w:rPr>
    </w:lvl>
    <w:lvl w:ilvl="2" w:tplc="586C86EA">
      <w:start w:val="1"/>
      <w:numFmt w:val="bullet"/>
      <w:lvlText w:val=""/>
      <w:lvlJc w:val="left"/>
      <w:pPr>
        <w:ind w:left="2160" w:hanging="360"/>
      </w:pPr>
      <w:rPr>
        <w:rFonts w:hint="default" w:ascii="Wingdings" w:hAnsi="Wingdings"/>
      </w:rPr>
    </w:lvl>
    <w:lvl w:ilvl="3" w:tplc="2E34ED2E">
      <w:start w:val="1"/>
      <w:numFmt w:val="bullet"/>
      <w:lvlText w:val=""/>
      <w:lvlJc w:val="left"/>
      <w:pPr>
        <w:ind w:left="2880" w:hanging="360"/>
      </w:pPr>
      <w:rPr>
        <w:rFonts w:hint="default" w:ascii="Symbol" w:hAnsi="Symbol"/>
      </w:rPr>
    </w:lvl>
    <w:lvl w:ilvl="4" w:tplc="85E655F0">
      <w:start w:val="1"/>
      <w:numFmt w:val="bullet"/>
      <w:lvlText w:val="o"/>
      <w:lvlJc w:val="left"/>
      <w:pPr>
        <w:ind w:left="3600" w:hanging="360"/>
      </w:pPr>
      <w:rPr>
        <w:rFonts w:hint="default" w:ascii="Courier New" w:hAnsi="Courier New"/>
      </w:rPr>
    </w:lvl>
    <w:lvl w:ilvl="5" w:tplc="3D9C1E08">
      <w:start w:val="1"/>
      <w:numFmt w:val="bullet"/>
      <w:lvlText w:val=""/>
      <w:lvlJc w:val="left"/>
      <w:pPr>
        <w:ind w:left="4320" w:hanging="360"/>
      </w:pPr>
      <w:rPr>
        <w:rFonts w:hint="default" w:ascii="Wingdings" w:hAnsi="Wingdings"/>
      </w:rPr>
    </w:lvl>
    <w:lvl w:ilvl="6" w:tplc="633ED95E">
      <w:start w:val="1"/>
      <w:numFmt w:val="bullet"/>
      <w:lvlText w:val=""/>
      <w:lvlJc w:val="left"/>
      <w:pPr>
        <w:ind w:left="5040" w:hanging="360"/>
      </w:pPr>
      <w:rPr>
        <w:rFonts w:hint="default" w:ascii="Symbol" w:hAnsi="Symbol"/>
      </w:rPr>
    </w:lvl>
    <w:lvl w:ilvl="7" w:tplc="6AFCCA68">
      <w:start w:val="1"/>
      <w:numFmt w:val="bullet"/>
      <w:lvlText w:val="o"/>
      <w:lvlJc w:val="left"/>
      <w:pPr>
        <w:ind w:left="5760" w:hanging="360"/>
      </w:pPr>
      <w:rPr>
        <w:rFonts w:hint="default" w:ascii="Courier New" w:hAnsi="Courier New"/>
      </w:rPr>
    </w:lvl>
    <w:lvl w:ilvl="8" w:tplc="A2AAD4CE">
      <w:start w:val="1"/>
      <w:numFmt w:val="bullet"/>
      <w:lvlText w:val=""/>
      <w:lvlJc w:val="left"/>
      <w:pPr>
        <w:ind w:left="6480" w:hanging="360"/>
      </w:pPr>
      <w:rPr>
        <w:rFonts w:hint="default" w:ascii="Wingdings" w:hAnsi="Wingdings"/>
      </w:rPr>
    </w:lvl>
  </w:abstractNum>
  <w:abstractNum w:abstractNumId="4" w15:restartNumberingAfterBreak="0">
    <w:nsid w:val="24994491"/>
    <w:multiLevelType w:val="hybridMultilevel"/>
    <w:tmpl w:val="FFFFFFFF"/>
    <w:lvl w:ilvl="0" w:tplc="FA0A0834">
      <w:start w:val="1"/>
      <w:numFmt w:val="bullet"/>
      <w:lvlText w:val=""/>
      <w:lvlJc w:val="left"/>
      <w:pPr>
        <w:ind w:left="1428" w:hanging="360"/>
      </w:pPr>
      <w:rPr>
        <w:rFonts w:hint="default" w:ascii="Symbol" w:hAnsi="Symbol"/>
      </w:rPr>
    </w:lvl>
    <w:lvl w:ilvl="1" w:tplc="2F5653C0">
      <w:start w:val="1"/>
      <w:numFmt w:val="bullet"/>
      <w:lvlText w:val="o"/>
      <w:lvlJc w:val="left"/>
      <w:pPr>
        <w:ind w:left="2148" w:hanging="360"/>
      </w:pPr>
      <w:rPr>
        <w:rFonts w:hint="default" w:ascii="Courier New" w:hAnsi="Courier New"/>
      </w:rPr>
    </w:lvl>
    <w:lvl w:ilvl="2" w:tplc="785A7C34">
      <w:start w:val="1"/>
      <w:numFmt w:val="bullet"/>
      <w:lvlText w:val=""/>
      <w:lvlJc w:val="left"/>
      <w:pPr>
        <w:ind w:left="2868" w:hanging="360"/>
      </w:pPr>
      <w:rPr>
        <w:rFonts w:hint="default" w:ascii="Wingdings" w:hAnsi="Wingdings"/>
      </w:rPr>
    </w:lvl>
    <w:lvl w:ilvl="3" w:tplc="69B6EAAE">
      <w:start w:val="1"/>
      <w:numFmt w:val="bullet"/>
      <w:lvlText w:val=""/>
      <w:lvlJc w:val="left"/>
      <w:pPr>
        <w:ind w:left="3588" w:hanging="360"/>
      </w:pPr>
      <w:rPr>
        <w:rFonts w:hint="default" w:ascii="Symbol" w:hAnsi="Symbol"/>
      </w:rPr>
    </w:lvl>
    <w:lvl w:ilvl="4" w:tplc="C5E2275A">
      <w:start w:val="1"/>
      <w:numFmt w:val="bullet"/>
      <w:lvlText w:val="o"/>
      <w:lvlJc w:val="left"/>
      <w:pPr>
        <w:ind w:left="4308" w:hanging="360"/>
      </w:pPr>
      <w:rPr>
        <w:rFonts w:hint="default" w:ascii="Courier New" w:hAnsi="Courier New"/>
      </w:rPr>
    </w:lvl>
    <w:lvl w:ilvl="5" w:tplc="2DF4428C">
      <w:start w:val="1"/>
      <w:numFmt w:val="bullet"/>
      <w:lvlText w:val=""/>
      <w:lvlJc w:val="left"/>
      <w:pPr>
        <w:ind w:left="5028" w:hanging="360"/>
      </w:pPr>
      <w:rPr>
        <w:rFonts w:hint="default" w:ascii="Wingdings" w:hAnsi="Wingdings"/>
      </w:rPr>
    </w:lvl>
    <w:lvl w:ilvl="6" w:tplc="63F4F8EE">
      <w:start w:val="1"/>
      <w:numFmt w:val="bullet"/>
      <w:lvlText w:val=""/>
      <w:lvlJc w:val="left"/>
      <w:pPr>
        <w:ind w:left="5748" w:hanging="360"/>
      </w:pPr>
      <w:rPr>
        <w:rFonts w:hint="default" w:ascii="Symbol" w:hAnsi="Symbol"/>
      </w:rPr>
    </w:lvl>
    <w:lvl w:ilvl="7" w:tplc="6D340170">
      <w:start w:val="1"/>
      <w:numFmt w:val="bullet"/>
      <w:lvlText w:val="o"/>
      <w:lvlJc w:val="left"/>
      <w:pPr>
        <w:ind w:left="6468" w:hanging="360"/>
      </w:pPr>
      <w:rPr>
        <w:rFonts w:hint="default" w:ascii="Courier New" w:hAnsi="Courier New"/>
      </w:rPr>
    </w:lvl>
    <w:lvl w:ilvl="8" w:tplc="72DAB9C4">
      <w:start w:val="1"/>
      <w:numFmt w:val="bullet"/>
      <w:lvlText w:val=""/>
      <w:lvlJc w:val="left"/>
      <w:pPr>
        <w:ind w:left="7188" w:hanging="360"/>
      </w:pPr>
      <w:rPr>
        <w:rFonts w:hint="default" w:ascii="Wingdings" w:hAnsi="Wingdings"/>
      </w:rPr>
    </w:lvl>
  </w:abstractNum>
  <w:abstractNum w:abstractNumId="5" w15:restartNumberingAfterBreak="0">
    <w:nsid w:val="354AF284"/>
    <w:multiLevelType w:val="hybridMultilevel"/>
    <w:tmpl w:val="FFFFFFFF"/>
    <w:lvl w:ilvl="0" w:tplc="7DF0EE94">
      <w:start w:val="1"/>
      <w:numFmt w:val="bullet"/>
      <w:lvlText w:val=""/>
      <w:lvlJc w:val="left"/>
      <w:pPr>
        <w:ind w:left="720" w:hanging="360"/>
      </w:pPr>
      <w:rPr>
        <w:rFonts w:hint="default" w:ascii="Symbol" w:hAnsi="Symbol"/>
      </w:rPr>
    </w:lvl>
    <w:lvl w:ilvl="1" w:tplc="6BCA9C3E">
      <w:start w:val="1"/>
      <w:numFmt w:val="bullet"/>
      <w:lvlText w:val="o"/>
      <w:lvlJc w:val="left"/>
      <w:pPr>
        <w:ind w:left="1440" w:hanging="360"/>
      </w:pPr>
      <w:rPr>
        <w:rFonts w:hint="default" w:ascii="Courier New" w:hAnsi="Courier New"/>
      </w:rPr>
    </w:lvl>
    <w:lvl w:ilvl="2" w:tplc="5C0A4F46">
      <w:start w:val="1"/>
      <w:numFmt w:val="bullet"/>
      <w:lvlText w:val=""/>
      <w:lvlJc w:val="left"/>
      <w:pPr>
        <w:ind w:left="2160" w:hanging="360"/>
      </w:pPr>
      <w:rPr>
        <w:rFonts w:hint="default" w:ascii="Wingdings" w:hAnsi="Wingdings"/>
      </w:rPr>
    </w:lvl>
    <w:lvl w:ilvl="3" w:tplc="AB682366">
      <w:start w:val="1"/>
      <w:numFmt w:val="bullet"/>
      <w:lvlText w:val=""/>
      <w:lvlJc w:val="left"/>
      <w:pPr>
        <w:ind w:left="2880" w:hanging="360"/>
      </w:pPr>
      <w:rPr>
        <w:rFonts w:hint="default" w:ascii="Symbol" w:hAnsi="Symbol"/>
      </w:rPr>
    </w:lvl>
    <w:lvl w:ilvl="4" w:tplc="89E815F8">
      <w:start w:val="1"/>
      <w:numFmt w:val="bullet"/>
      <w:lvlText w:val="o"/>
      <w:lvlJc w:val="left"/>
      <w:pPr>
        <w:ind w:left="3600" w:hanging="360"/>
      </w:pPr>
      <w:rPr>
        <w:rFonts w:hint="default" w:ascii="Courier New" w:hAnsi="Courier New"/>
      </w:rPr>
    </w:lvl>
    <w:lvl w:ilvl="5" w:tplc="43F4632A">
      <w:start w:val="1"/>
      <w:numFmt w:val="bullet"/>
      <w:lvlText w:val=""/>
      <w:lvlJc w:val="left"/>
      <w:pPr>
        <w:ind w:left="4320" w:hanging="360"/>
      </w:pPr>
      <w:rPr>
        <w:rFonts w:hint="default" w:ascii="Wingdings" w:hAnsi="Wingdings"/>
      </w:rPr>
    </w:lvl>
    <w:lvl w:ilvl="6" w:tplc="C89CA758">
      <w:start w:val="1"/>
      <w:numFmt w:val="bullet"/>
      <w:lvlText w:val=""/>
      <w:lvlJc w:val="left"/>
      <w:pPr>
        <w:ind w:left="5040" w:hanging="360"/>
      </w:pPr>
      <w:rPr>
        <w:rFonts w:hint="default" w:ascii="Symbol" w:hAnsi="Symbol"/>
      </w:rPr>
    </w:lvl>
    <w:lvl w:ilvl="7" w:tplc="6E04F1A2">
      <w:start w:val="1"/>
      <w:numFmt w:val="bullet"/>
      <w:lvlText w:val="o"/>
      <w:lvlJc w:val="left"/>
      <w:pPr>
        <w:ind w:left="5760" w:hanging="360"/>
      </w:pPr>
      <w:rPr>
        <w:rFonts w:hint="default" w:ascii="Courier New" w:hAnsi="Courier New"/>
      </w:rPr>
    </w:lvl>
    <w:lvl w:ilvl="8" w:tplc="83281DC6">
      <w:start w:val="1"/>
      <w:numFmt w:val="bullet"/>
      <w:lvlText w:val=""/>
      <w:lvlJc w:val="left"/>
      <w:pPr>
        <w:ind w:left="6480" w:hanging="360"/>
      </w:pPr>
      <w:rPr>
        <w:rFonts w:hint="default" w:ascii="Wingdings" w:hAnsi="Wingdings"/>
      </w:rPr>
    </w:lvl>
  </w:abstractNum>
  <w:abstractNum w:abstractNumId="6" w15:restartNumberingAfterBreak="0">
    <w:nsid w:val="3C67B3C9"/>
    <w:multiLevelType w:val="hybridMultilevel"/>
    <w:tmpl w:val="FFFFFFFF"/>
    <w:lvl w:ilvl="0" w:tplc="148E0EE8">
      <w:start w:val="1"/>
      <w:numFmt w:val="bullet"/>
      <w:lvlText w:val=""/>
      <w:lvlJc w:val="left"/>
      <w:pPr>
        <w:ind w:left="1560" w:hanging="360"/>
      </w:pPr>
      <w:rPr>
        <w:rFonts w:hint="default" w:ascii="Symbol" w:hAnsi="Symbol"/>
      </w:rPr>
    </w:lvl>
    <w:lvl w:ilvl="1" w:tplc="293C4452">
      <w:start w:val="1"/>
      <w:numFmt w:val="bullet"/>
      <w:lvlText w:val="o"/>
      <w:lvlJc w:val="left"/>
      <w:pPr>
        <w:ind w:left="2280" w:hanging="360"/>
      </w:pPr>
      <w:rPr>
        <w:rFonts w:hint="default" w:ascii="Courier New" w:hAnsi="Courier New"/>
      </w:rPr>
    </w:lvl>
    <w:lvl w:ilvl="2" w:tplc="89CE07D4">
      <w:start w:val="1"/>
      <w:numFmt w:val="bullet"/>
      <w:lvlText w:val=""/>
      <w:lvlJc w:val="left"/>
      <w:pPr>
        <w:ind w:left="3000" w:hanging="360"/>
      </w:pPr>
      <w:rPr>
        <w:rFonts w:hint="default" w:ascii="Wingdings" w:hAnsi="Wingdings"/>
      </w:rPr>
    </w:lvl>
    <w:lvl w:ilvl="3" w:tplc="A77CCBBC">
      <w:start w:val="1"/>
      <w:numFmt w:val="bullet"/>
      <w:lvlText w:val=""/>
      <w:lvlJc w:val="left"/>
      <w:pPr>
        <w:ind w:left="3720" w:hanging="360"/>
      </w:pPr>
      <w:rPr>
        <w:rFonts w:hint="default" w:ascii="Symbol" w:hAnsi="Symbol"/>
      </w:rPr>
    </w:lvl>
    <w:lvl w:ilvl="4" w:tplc="87EC140A">
      <w:start w:val="1"/>
      <w:numFmt w:val="bullet"/>
      <w:lvlText w:val="o"/>
      <w:lvlJc w:val="left"/>
      <w:pPr>
        <w:ind w:left="4440" w:hanging="360"/>
      </w:pPr>
      <w:rPr>
        <w:rFonts w:hint="default" w:ascii="Courier New" w:hAnsi="Courier New"/>
      </w:rPr>
    </w:lvl>
    <w:lvl w:ilvl="5" w:tplc="3C120080">
      <w:start w:val="1"/>
      <w:numFmt w:val="bullet"/>
      <w:lvlText w:val=""/>
      <w:lvlJc w:val="left"/>
      <w:pPr>
        <w:ind w:left="5160" w:hanging="360"/>
      </w:pPr>
      <w:rPr>
        <w:rFonts w:hint="default" w:ascii="Wingdings" w:hAnsi="Wingdings"/>
      </w:rPr>
    </w:lvl>
    <w:lvl w:ilvl="6" w:tplc="7FD8E47A">
      <w:start w:val="1"/>
      <w:numFmt w:val="bullet"/>
      <w:lvlText w:val=""/>
      <w:lvlJc w:val="left"/>
      <w:pPr>
        <w:ind w:left="5880" w:hanging="360"/>
      </w:pPr>
      <w:rPr>
        <w:rFonts w:hint="default" w:ascii="Symbol" w:hAnsi="Symbol"/>
      </w:rPr>
    </w:lvl>
    <w:lvl w:ilvl="7" w:tplc="D372653E">
      <w:start w:val="1"/>
      <w:numFmt w:val="bullet"/>
      <w:lvlText w:val="o"/>
      <w:lvlJc w:val="left"/>
      <w:pPr>
        <w:ind w:left="6600" w:hanging="360"/>
      </w:pPr>
      <w:rPr>
        <w:rFonts w:hint="default" w:ascii="Courier New" w:hAnsi="Courier New"/>
      </w:rPr>
    </w:lvl>
    <w:lvl w:ilvl="8" w:tplc="5F385E58">
      <w:start w:val="1"/>
      <w:numFmt w:val="bullet"/>
      <w:lvlText w:val=""/>
      <w:lvlJc w:val="left"/>
      <w:pPr>
        <w:ind w:left="7320" w:hanging="360"/>
      </w:pPr>
      <w:rPr>
        <w:rFonts w:hint="default" w:ascii="Wingdings" w:hAnsi="Wingdings"/>
      </w:rPr>
    </w:lvl>
  </w:abstractNum>
  <w:abstractNum w:abstractNumId="7" w15:restartNumberingAfterBreak="0">
    <w:nsid w:val="40873C77"/>
    <w:multiLevelType w:val="hybridMultilevel"/>
    <w:tmpl w:val="FFFFFFFF"/>
    <w:lvl w:ilvl="0" w:tplc="8D1029CC">
      <w:start w:val="1"/>
      <w:numFmt w:val="bullet"/>
      <w:lvlText w:val=""/>
      <w:lvlJc w:val="left"/>
      <w:pPr>
        <w:ind w:left="1560" w:hanging="360"/>
      </w:pPr>
      <w:rPr>
        <w:rFonts w:hint="default" w:ascii="Symbol" w:hAnsi="Symbol"/>
      </w:rPr>
    </w:lvl>
    <w:lvl w:ilvl="1" w:tplc="DACECEF4">
      <w:start w:val="1"/>
      <w:numFmt w:val="bullet"/>
      <w:lvlText w:val="o"/>
      <w:lvlJc w:val="left"/>
      <w:pPr>
        <w:ind w:left="2280" w:hanging="360"/>
      </w:pPr>
      <w:rPr>
        <w:rFonts w:hint="default" w:ascii="Courier New" w:hAnsi="Courier New"/>
      </w:rPr>
    </w:lvl>
    <w:lvl w:ilvl="2" w:tplc="E15AD894">
      <w:start w:val="1"/>
      <w:numFmt w:val="bullet"/>
      <w:lvlText w:val=""/>
      <w:lvlJc w:val="left"/>
      <w:pPr>
        <w:ind w:left="3000" w:hanging="360"/>
      </w:pPr>
      <w:rPr>
        <w:rFonts w:hint="default" w:ascii="Wingdings" w:hAnsi="Wingdings"/>
      </w:rPr>
    </w:lvl>
    <w:lvl w:ilvl="3" w:tplc="53EA938E">
      <w:start w:val="1"/>
      <w:numFmt w:val="bullet"/>
      <w:lvlText w:val=""/>
      <w:lvlJc w:val="left"/>
      <w:pPr>
        <w:ind w:left="3720" w:hanging="360"/>
      </w:pPr>
      <w:rPr>
        <w:rFonts w:hint="default" w:ascii="Symbol" w:hAnsi="Symbol"/>
      </w:rPr>
    </w:lvl>
    <w:lvl w:ilvl="4" w:tplc="27F2D734">
      <w:start w:val="1"/>
      <w:numFmt w:val="bullet"/>
      <w:lvlText w:val="o"/>
      <w:lvlJc w:val="left"/>
      <w:pPr>
        <w:ind w:left="4440" w:hanging="360"/>
      </w:pPr>
      <w:rPr>
        <w:rFonts w:hint="default" w:ascii="Courier New" w:hAnsi="Courier New"/>
      </w:rPr>
    </w:lvl>
    <w:lvl w:ilvl="5" w:tplc="7D0C9C38">
      <w:start w:val="1"/>
      <w:numFmt w:val="bullet"/>
      <w:lvlText w:val=""/>
      <w:lvlJc w:val="left"/>
      <w:pPr>
        <w:ind w:left="5160" w:hanging="360"/>
      </w:pPr>
      <w:rPr>
        <w:rFonts w:hint="default" w:ascii="Wingdings" w:hAnsi="Wingdings"/>
      </w:rPr>
    </w:lvl>
    <w:lvl w:ilvl="6" w:tplc="9AEAAE2A">
      <w:start w:val="1"/>
      <w:numFmt w:val="bullet"/>
      <w:lvlText w:val=""/>
      <w:lvlJc w:val="left"/>
      <w:pPr>
        <w:ind w:left="5880" w:hanging="360"/>
      </w:pPr>
      <w:rPr>
        <w:rFonts w:hint="default" w:ascii="Symbol" w:hAnsi="Symbol"/>
      </w:rPr>
    </w:lvl>
    <w:lvl w:ilvl="7" w:tplc="FBE08EA6">
      <w:start w:val="1"/>
      <w:numFmt w:val="bullet"/>
      <w:lvlText w:val="o"/>
      <w:lvlJc w:val="left"/>
      <w:pPr>
        <w:ind w:left="6600" w:hanging="360"/>
      </w:pPr>
      <w:rPr>
        <w:rFonts w:hint="default" w:ascii="Courier New" w:hAnsi="Courier New"/>
      </w:rPr>
    </w:lvl>
    <w:lvl w:ilvl="8" w:tplc="12E08122">
      <w:start w:val="1"/>
      <w:numFmt w:val="bullet"/>
      <w:lvlText w:val=""/>
      <w:lvlJc w:val="left"/>
      <w:pPr>
        <w:ind w:left="7320" w:hanging="360"/>
      </w:pPr>
      <w:rPr>
        <w:rFonts w:hint="default" w:ascii="Wingdings" w:hAnsi="Wingdings"/>
      </w:rPr>
    </w:lvl>
  </w:abstractNum>
  <w:abstractNum w:abstractNumId="8" w15:restartNumberingAfterBreak="0">
    <w:nsid w:val="46C1D090"/>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 w15:restartNumberingAfterBreak="0">
    <w:nsid w:val="48D247FA"/>
    <w:multiLevelType w:val="hybridMultilevel"/>
    <w:tmpl w:val="FFFFFFFF"/>
    <w:lvl w:ilvl="0" w:tplc="908276B4">
      <w:start w:val="1"/>
      <w:numFmt w:val="bullet"/>
      <w:lvlText w:val=""/>
      <w:lvlJc w:val="left"/>
      <w:pPr>
        <w:ind w:left="720" w:hanging="360"/>
      </w:pPr>
      <w:rPr>
        <w:rFonts w:hint="default" w:ascii="Symbol" w:hAnsi="Symbol"/>
      </w:rPr>
    </w:lvl>
    <w:lvl w:ilvl="1" w:tplc="76787AEA">
      <w:start w:val="1"/>
      <w:numFmt w:val="bullet"/>
      <w:lvlText w:val="o"/>
      <w:lvlJc w:val="left"/>
      <w:pPr>
        <w:ind w:left="1440" w:hanging="360"/>
      </w:pPr>
      <w:rPr>
        <w:rFonts w:hint="default" w:ascii="Courier New" w:hAnsi="Courier New"/>
      </w:rPr>
    </w:lvl>
    <w:lvl w:ilvl="2" w:tplc="EF8C6C30">
      <w:start w:val="1"/>
      <w:numFmt w:val="bullet"/>
      <w:lvlText w:val=""/>
      <w:lvlJc w:val="left"/>
      <w:pPr>
        <w:ind w:left="2160" w:hanging="360"/>
      </w:pPr>
      <w:rPr>
        <w:rFonts w:hint="default" w:ascii="Wingdings" w:hAnsi="Wingdings"/>
      </w:rPr>
    </w:lvl>
    <w:lvl w:ilvl="3" w:tplc="DB9CB38E">
      <w:start w:val="1"/>
      <w:numFmt w:val="bullet"/>
      <w:lvlText w:val=""/>
      <w:lvlJc w:val="left"/>
      <w:pPr>
        <w:ind w:left="2880" w:hanging="360"/>
      </w:pPr>
      <w:rPr>
        <w:rFonts w:hint="default" w:ascii="Symbol" w:hAnsi="Symbol"/>
      </w:rPr>
    </w:lvl>
    <w:lvl w:ilvl="4" w:tplc="F44CCCB6">
      <w:start w:val="1"/>
      <w:numFmt w:val="bullet"/>
      <w:lvlText w:val="o"/>
      <w:lvlJc w:val="left"/>
      <w:pPr>
        <w:ind w:left="3600" w:hanging="360"/>
      </w:pPr>
      <w:rPr>
        <w:rFonts w:hint="default" w:ascii="Courier New" w:hAnsi="Courier New"/>
      </w:rPr>
    </w:lvl>
    <w:lvl w:ilvl="5" w:tplc="EAD44AB0">
      <w:start w:val="1"/>
      <w:numFmt w:val="bullet"/>
      <w:lvlText w:val=""/>
      <w:lvlJc w:val="left"/>
      <w:pPr>
        <w:ind w:left="4320" w:hanging="360"/>
      </w:pPr>
      <w:rPr>
        <w:rFonts w:hint="default" w:ascii="Wingdings" w:hAnsi="Wingdings"/>
      </w:rPr>
    </w:lvl>
    <w:lvl w:ilvl="6" w:tplc="D39492BC">
      <w:start w:val="1"/>
      <w:numFmt w:val="bullet"/>
      <w:lvlText w:val=""/>
      <w:lvlJc w:val="left"/>
      <w:pPr>
        <w:ind w:left="5040" w:hanging="360"/>
      </w:pPr>
      <w:rPr>
        <w:rFonts w:hint="default" w:ascii="Symbol" w:hAnsi="Symbol"/>
      </w:rPr>
    </w:lvl>
    <w:lvl w:ilvl="7" w:tplc="AB4028E8">
      <w:start w:val="1"/>
      <w:numFmt w:val="bullet"/>
      <w:lvlText w:val="o"/>
      <w:lvlJc w:val="left"/>
      <w:pPr>
        <w:ind w:left="5760" w:hanging="360"/>
      </w:pPr>
      <w:rPr>
        <w:rFonts w:hint="default" w:ascii="Courier New" w:hAnsi="Courier New"/>
      </w:rPr>
    </w:lvl>
    <w:lvl w:ilvl="8" w:tplc="D82A7584">
      <w:start w:val="1"/>
      <w:numFmt w:val="bullet"/>
      <w:lvlText w:val=""/>
      <w:lvlJc w:val="left"/>
      <w:pPr>
        <w:ind w:left="6480" w:hanging="360"/>
      </w:pPr>
      <w:rPr>
        <w:rFonts w:hint="default" w:ascii="Wingdings" w:hAnsi="Wingdings"/>
      </w:rPr>
    </w:lvl>
  </w:abstractNum>
  <w:abstractNum w:abstractNumId="10" w15:restartNumberingAfterBreak="0">
    <w:nsid w:val="49725BAE"/>
    <w:multiLevelType w:val="hybridMultilevel"/>
    <w:tmpl w:val="B96E235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1" w15:restartNumberingAfterBreak="0">
    <w:nsid w:val="4C2A3F27"/>
    <w:multiLevelType w:val="hybridMultilevel"/>
    <w:tmpl w:val="FFFFFFFF"/>
    <w:lvl w:ilvl="0" w:tplc="14E4AF84">
      <w:start w:val="1"/>
      <w:numFmt w:val="bullet"/>
      <w:lvlText w:val=""/>
      <w:lvlJc w:val="left"/>
      <w:pPr>
        <w:ind w:left="1560" w:hanging="360"/>
      </w:pPr>
      <w:rPr>
        <w:rFonts w:hint="default" w:ascii="Symbol" w:hAnsi="Symbol"/>
      </w:rPr>
    </w:lvl>
    <w:lvl w:ilvl="1" w:tplc="EADA5F82">
      <w:start w:val="1"/>
      <w:numFmt w:val="bullet"/>
      <w:lvlText w:val="o"/>
      <w:lvlJc w:val="left"/>
      <w:pPr>
        <w:ind w:left="2280" w:hanging="360"/>
      </w:pPr>
      <w:rPr>
        <w:rFonts w:hint="default" w:ascii="Courier New" w:hAnsi="Courier New"/>
      </w:rPr>
    </w:lvl>
    <w:lvl w:ilvl="2" w:tplc="62A0EE70">
      <w:start w:val="1"/>
      <w:numFmt w:val="bullet"/>
      <w:lvlText w:val=""/>
      <w:lvlJc w:val="left"/>
      <w:pPr>
        <w:ind w:left="3000" w:hanging="360"/>
      </w:pPr>
      <w:rPr>
        <w:rFonts w:hint="default" w:ascii="Wingdings" w:hAnsi="Wingdings"/>
      </w:rPr>
    </w:lvl>
    <w:lvl w:ilvl="3" w:tplc="EBB06DDA">
      <w:start w:val="1"/>
      <w:numFmt w:val="bullet"/>
      <w:lvlText w:val=""/>
      <w:lvlJc w:val="left"/>
      <w:pPr>
        <w:ind w:left="3720" w:hanging="360"/>
      </w:pPr>
      <w:rPr>
        <w:rFonts w:hint="default" w:ascii="Symbol" w:hAnsi="Symbol"/>
      </w:rPr>
    </w:lvl>
    <w:lvl w:ilvl="4" w:tplc="B1BCEEA4">
      <w:start w:val="1"/>
      <w:numFmt w:val="bullet"/>
      <w:lvlText w:val="o"/>
      <w:lvlJc w:val="left"/>
      <w:pPr>
        <w:ind w:left="4440" w:hanging="360"/>
      </w:pPr>
      <w:rPr>
        <w:rFonts w:hint="default" w:ascii="Courier New" w:hAnsi="Courier New"/>
      </w:rPr>
    </w:lvl>
    <w:lvl w:ilvl="5" w:tplc="A1ACBAE4">
      <w:start w:val="1"/>
      <w:numFmt w:val="bullet"/>
      <w:lvlText w:val=""/>
      <w:lvlJc w:val="left"/>
      <w:pPr>
        <w:ind w:left="5160" w:hanging="360"/>
      </w:pPr>
      <w:rPr>
        <w:rFonts w:hint="default" w:ascii="Wingdings" w:hAnsi="Wingdings"/>
      </w:rPr>
    </w:lvl>
    <w:lvl w:ilvl="6" w:tplc="64D6BECA">
      <w:start w:val="1"/>
      <w:numFmt w:val="bullet"/>
      <w:lvlText w:val=""/>
      <w:lvlJc w:val="left"/>
      <w:pPr>
        <w:ind w:left="5880" w:hanging="360"/>
      </w:pPr>
      <w:rPr>
        <w:rFonts w:hint="default" w:ascii="Symbol" w:hAnsi="Symbol"/>
      </w:rPr>
    </w:lvl>
    <w:lvl w:ilvl="7" w:tplc="EFF2C026">
      <w:start w:val="1"/>
      <w:numFmt w:val="bullet"/>
      <w:lvlText w:val="o"/>
      <w:lvlJc w:val="left"/>
      <w:pPr>
        <w:ind w:left="6600" w:hanging="360"/>
      </w:pPr>
      <w:rPr>
        <w:rFonts w:hint="default" w:ascii="Courier New" w:hAnsi="Courier New"/>
      </w:rPr>
    </w:lvl>
    <w:lvl w:ilvl="8" w:tplc="1ED2B688">
      <w:start w:val="1"/>
      <w:numFmt w:val="bullet"/>
      <w:lvlText w:val=""/>
      <w:lvlJc w:val="left"/>
      <w:pPr>
        <w:ind w:left="7320" w:hanging="360"/>
      </w:pPr>
      <w:rPr>
        <w:rFonts w:hint="default" w:ascii="Wingdings" w:hAnsi="Wingdings"/>
      </w:rPr>
    </w:lvl>
  </w:abstractNum>
  <w:abstractNum w:abstractNumId="12" w15:restartNumberingAfterBreak="0">
    <w:nsid w:val="4E683973"/>
    <w:multiLevelType w:val="hybridMultilevel"/>
    <w:tmpl w:val="5D90F856"/>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 w15:restartNumberingAfterBreak="0">
    <w:nsid w:val="53912618"/>
    <w:multiLevelType w:val="hybridMultilevel"/>
    <w:tmpl w:val="FFFFFFFF"/>
    <w:lvl w:ilvl="0" w:tplc="EA428A56">
      <w:start w:val="1"/>
      <w:numFmt w:val="bullet"/>
      <w:lvlText w:val=""/>
      <w:lvlJc w:val="left"/>
      <w:pPr>
        <w:ind w:left="720" w:hanging="360"/>
      </w:pPr>
      <w:rPr>
        <w:rFonts w:hint="default" w:ascii="Symbol" w:hAnsi="Symbol"/>
      </w:rPr>
    </w:lvl>
    <w:lvl w:ilvl="1" w:tplc="A3A0B76A">
      <w:start w:val="1"/>
      <w:numFmt w:val="bullet"/>
      <w:lvlText w:val="o"/>
      <w:lvlJc w:val="left"/>
      <w:pPr>
        <w:ind w:left="1440" w:hanging="360"/>
      </w:pPr>
      <w:rPr>
        <w:rFonts w:hint="default" w:ascii="Courier New" w:hAnsi="Courier New"/>
      </w:rPr>
    </w:lvl>
    <w:lvl w:ilvl="2" w:tplc="04A6A3A4">
      <w:start w:val="1"/>
      <w:numFmt w:val="bullet"/>
      <w:lvlText w:val=""/>
      <w:lvlJc w:val="left"/>
      <w:pPr>
        <w:ind w:left="2160" w:hanging="360"/>
      </w:pPr>
      <w:rPr>
        <w:rFonts w:hint="default" w:ascii="Wingdings" w:hAnsi="Wingdings"/>
      </w:rPr>
    </w:lvl>
    <w:lvl w:ilvl="3" w:tplc="7CDEF83A">
      <w:start w:val="1"/>
      <w:numFmt w:val="bullet"/>
      <w:lvlText w:val=""/>
      <w:lvlJc w:val="left"/>
      <w:pPr>
        <w:ind w:left="2880" w:hanging="360"/>
      </w:pPr>
      <w:rPr>
        <w:rFonts w:hint="default" w:ascii="Symbol" w:hAnsi="Symbol"/>
      </w:rPr>
    </w:lvl>
    <w:lvl w:ilvl="4" w:tplc="7096ABBC">
      <w:start w:val="1"/>
      <w:numFmt w:val="bullet"/>
      <w:lvlText w:val="o"/>
      <w:lvlJc w:val="left"/>
      <w:pPr>
        <w:ind w:left="3600" w:hanging="360"/>
      </w:pPr>
      <w:rPr>
        <w:rFonts w:hint="default" w:ascii="Courier New" w:hAnsi="Courier New"/>
      </w:rPr>
    </w:lvl>
    <w:lvl w:ilvl="5" w:tplc="E3166F6A">
      <w:start w:val="1"/>
      <w:numFmt w:val="bullet"/>
      <w:lvlText w:val=""/>
      <w:lvlJc w:val="left"/>
      <w:pPr>
        <w:ind w:left="4320" w:hanging="360"/>
      </w:pPr>
      <w:rPr>
        <w:rFonts w:hint="default" w:ascii="Wingdings" w:hAnsi="Wingdings"/>
      </w:rPr>
    </w:lvl>
    <w:lvl w:ilvl="6" w:tplc="907C6E58">
      <w:start w:val="1"/>
      <w:numFmt w:val="bullet"/>
      <w:lvlText w:val=""/>
      <w:lvlJc w:val="left"/>
      <w:pPr>
        <w:ind w:left="5040" w:hanging="360"/>
      </w:pPr>
      <w:rPr>
        <w:rFonts w:hint="default" w:ascii="Symbol" w:hAnsi="Symbol"/>
      </w:rPr>
    </w:lvl>
    <w:lvl w:ilvl="7" w:tplc="AC1C4902">
      <w:start w:val="1"/>
      <w:numFmt w:val="bullet"/>
      <w:lvlText w:val="o"/>
      <w:lvlJc w:val="left"/>
      <w:pPr>
        <w:ind w:left="5760" w:hanging="360"/>
      </w:pPr>
      <w:rPr>
        <w:rFonts w:hint="default" w:ascii="Courier New" w:hAnsi="Courier New"/>
      </w:rPr>
    </w:lvl>
    <w:lvl w:ilvl="8" w:tplc="699E4636">
      <w:start w:val="1"/>
      <w:numFmt w:val="bullet"/>
      <w:lvlText w:val=""/>
      <w:lvlJc w:val="left"/>
      <w:pPr>
        <w:ind w:left="6480" w:hanging="360"/>
      </w:pPr>
      <w:rPr>
        <w:rFonts w:hint="default" w:ascii="Wingdings" w:hAnsi="Wingdings"/>
      </w:rPr>
    </w:lvl>
  </w:abstractNum>
  <w:abstractNum w:abstractNumId="14" w15:restartNumberingAfterBreak="0">
    <w:nsid w:val="590439B6"/>
    <w:multiLevelType w:val="hybridMultilevel"/>
    <w:tmpl w:val="639CF63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15:restartNumberingAfterBreak="0">
    <w:nsid w:val="5E799332"/>
    <w:multiLevelType w:val="hybridMultilevel"/>
    <w:tmpl w:val="FFFFFFFF"/>
    <w:lvl w:ilvl="0" w:tplc="FED00BB0">
      <w:start w:val="1"/>
      <w:numFmt w:val="decimal"/>
      <w:lvlText w:val="%1."/>
      <w:lvlJc w:val="left"/>
      <w:pPr>
        <w:ind w:left="720" w:hanging="360"/>
      </w:pPr>
    </w:lvl>
    <w:lvl w:ilvl="1" w:tplc="AF0601BC">
      <w:start w:val="1"/>
      <w:numFmt w:val="lowerLetter"/>
      <w:lvlText w:val="%2."/>
      <w:lvlJc w:val="left"/>
      <w:pPr>
        <w:ind w:left="1440" w:hanging="360"/>
      </w:pPr>
    </w:lvl>
    <w:lvl w:ilvl="2" w:tplc="006C81C2">
      <w:start w:val="1"/>
      <w:numFmt w:val="lowerRoman"/>
      <w:lvlText w:val="%3."/>
      <w:lvlJc w:val="right"/>
      <w:pPr>
        <w:ind w:left="2160" w:hanging="180"/>
      </w:pPr>
    </w:lvl>
    <w:lvl w:ilvl="3" w:tplc="73668838">
      <w:start w:val="1"/>
      <w:numFmt w:val="decimal"/>
      <w:lvlText w:val="%4."/>
      <w:lvlJc w:val="left"/>
      <w:pPr>
        <w:ind w:left="2880" w:hanging="360"/>
      </w:pPr>
    </w:lvl>
    <w:lvl w:ilvl="4" w:tplc="4CF4A958">
      <w:start w:val="1"/>
      <w:numFmt w:val="lowerLetter"/>
      <w:lvlText w:val="%5."/>
      <w:lvlJc w:val="left"/>
      <w:pPr>
        <w:ind w:left="3600" w:hanging="360"/>
      </w:pPr>
    </w:lvl>
    <w:lvl w:ilvl="5" w:tplc="0AEC3E08">
      <w:start w:val="1"/>
      <w:numFmt w:val="lowerRoman"/>
      <w:lvlText w:val="%6."/>
      <w:lvlJc w:val="right"/>
      <w:pPr>
        <w:ind w:left="4320" w:hanging="180"/>
      </w:pPr>
    </w:lvl>
    <w:lvl w:ilvl="6" w:tplc="01B6E2A6">
      <w:start w:val="1"/>
      <w:numFmt w:val="decimal"/>
      <w:lvlText w:val="%7."/>
      <w:lvlJc w:val="left"/>
      <w:pPr>
        <w:ind w:left="5040" w:hanging="360"/>
      </w:pPr>
    </w:lvl>
    <w:lvl w:ilvl="7" w:tplc="A2EE0810">
      <w:start w:val="1"/>
      <w:numFmt w:val="lowerLetter"/>
      <w:lvlText w:val="%8."/>
      <w:lvlJc w:val="left"/>
      <w:pPr>
        <w:ind w:left="5760" w:hanging="360"/>
      </w:pPr>
    </w:lvl>
    <w:lvl w:ilvl="8" w:tplc="A4746656">
      <w:start w:val="1"/>
      <w:numFmt w:val="lowerRoman"/>
      <w:lvlText w:val="%9."/>
      <w:lvlJc w:val="right"/>
      <w:pPr>
        <w:ind w:left="6480" w:hanging="180"/>
      </w:pPr>
    </w:lvl>
  </w:abstractNum>
  <w:abstractNum w:abstractNumId="16" w15:restartNumberingAfterBreak="0">
    <w:nsid w:val="5EB47393"/>
    <w:multiLevelType w:val="hybridMultilevel"/>
    <w:tmpl w:val="2534BD18"/>
    <w:lvl w:ilvl="0" w:tplc="240A0003">
      <w:start w:val="1"/>
      <w:numFmt w:val="bullet"/>
      <w:lvlText w:val="o"/>
      <w:lvlJc w:val="left"/>
      <w:pPr>
        <w:ind w:left="720" w:hanging="360"/>
      </w:pPr>
      <w:rPr>
        <w:rFonts w:hint="default" w:ascii="Courier New" w:hAnsi="Courier New" w:cs="Courier New"/>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7" w15:restartNumberingAfterBreak="0">
    <w:nsid w:val="612BC25B"/>
    <w:multiLevelType w:val="hybridMultilevel"/>
    <w:tmpl w:val="FFFFFFFF"/>
    <w:lvl w:ilvl="0" w:tplc="10AA88D8">
      <w:start w:val="1"/>
      <w:numFmt w:val="bullet"/>
      <w:lvlText w:val=""/>
      <w:lvlJc w:val="left"/>
      <w:pPr>
        <w:ind w:left="1560" w:hanging="360"/>
      </w:pPr>
      <w:rPr>
        <w:rFonts w:hint="default" w:ascii="Symbol" w:hAnsi="Symbol"/>
      </w:rPr>
    </w:lvl>
    <w:lvl w:ilvl="1" w:tplc="64DCC4EE">
      <w:start w:val="1"/>
      <w:numFmt w:val="bullet"/>
      <w:lvlText w:val="o"/>
      <w:lvlJc w:val="left"/>
      <w:pPr>
        <w:ind w:left="2280" w:hanging="360"/>
      </w:pPr>
      <w:rPr>
        <w:rFonts w:hint="default" w:ascii="Courier New" w:hAnsi="Courier New"/>
      </w:rPr>
    </w:lvl>
    <w:lvl w:ilvl="2" w:tplc="5B3C840A">
      <w:start w:val="1"/>
      <w:numFmt w:val="bullet"/>
      <w:lvlText w:val=""/>
      <w:lvlJc w:val="left"/>
      <w:pPr>
        <w:ind w:left="3000" w:hanging="360"/>
      </w:pPr>
      <w:rPr>
        <w:rFonts w:hint="default" w:ascii="Wingdings" w:hAnsi="Wingdings"/>
      </w:rPr>
    </w:lvl>
    <w:lvl w:ilvl="3" w:tplc="DD0A53DE">
      <w:start w:val="1"/>
      <w:numFmt w:val="bullet"/>
      <w:lvlText w:val=""/>
      <w:lvlJc w:val="left"/>
      <w:pPr>
        <w:ind w:left="3720" w:hanging="360"/>
      </w:pPr>
      <w:rPr>
        <w:rFonts w:hint="default" w:ascii="Symbol" w:hAnsi="Symbol"/>
      </w:rPr>
    </w:lvl>
    <w:lvl w:ilvl="4" w:tplc="D8548E98">
      <w:start w:val="1"/>
      <w:numFmt w:val="bullet"/>
      <w:lvlText w:val="o"/>
      <w:lvlJc w:val="left"/>
      <w:pPr>
        <w:ind w:left="4440" w:hanging="360"/>
      </w:pPr>
      <w:rPr>
        <w:rFonts w:hint="default" w:ascii="Courier New" w:hAnsi="Courier New"/>
      </w:rPr>
    </w:lvl>
    <w:lvl w:ilvl="5" w:tplc="FE5CC296">
      <w:start w:val="1"/>
      <w:numFmt w:val="bullet"/>
      <w:lvlText w:val=""/>
      <w:lvlJc w:val="left"/>
      <w:pPr>
        <w:ind w:left="5160" w:hanging="360"/>
      </w:pPr>
      <w:rPr>
        <w:rFonts w:hint="default" w:ascii="Wingdings" w:hAnsi="Wingdings"/>
      </w:rPr>
    </w:lvl>
    <w:lvl w:ilvl="6" w:tplc="7286F8CC">
      <w:start w:val="1"/>
      <w:numFmt w:val="bullet"/>
      <w:lvlText w:val=""/>
      <w:lvlJc w:val="left"/>
      <w:pPr>
        <w:ind w:left="5880" w:hanging="360"/>
      </w:pPr>
      <w:rPr>
        <w:rFonts w:hint="default" w:ascii="Symbol" w:hAnsi="Symbol"/>
      </w:rPr>
    </w:lvl>
    <w:lvl w:ilvl="7" w:tplc="5A7CB488">
      <w:start w:val="1"/>
      <w:numFmt w:val="bullet"/>
      <w:lvlText w:val="o"/>
      <w:lvlJc w:val="left"/>
      <w:pPr>
        <w:ind w:left="6600" w:hanging="360"/>
      </w:pPr>
      <w:rPr>
        <w:rFonts w:hint="default" w:ascii="Courier New" w:hAnsi="Courier New"/>
      </w:rPr>
    </w:lvl>
    <w:lvl w:ilvl="8" w:tplc="605ACD5C">
      <w:start w:val="1"/>
      <w:numFmt w:val="bullet"/>
      <w:lvlText w:val=""/>
      <w:lvlJc w:val="left"/>
      <w:pPr>
        <w:ind w:left="7320" w:hanging="360"/>
      </w:pPr>
      <w:rPr>
        <w:rFonts w:hint="default" w:ascii="Wingdings" w:hAnsi="Wingdings"/>
      </w:rPr>
    </w:lvl>
  </w:abstractNum>
  <w:abstractNum w:abstractNumId="18" w15:restartNumberingAfterBreak="0">
    <w:nsid w:val="6A3664BD"/>
    <w:multiLevelType w:val="hybridMultilevel"/>
    <w:tmpl w:val="E19808A6"/>
    <w:lvl w:ilvl="0" w:tplc="240A000F">
      <w:start w:val="1"/>
      <w:numFmt w:val="decimal"/>
      <w:lvlText w:val="%1."/>
      <w:lvlJc w:val="left"/>
      <w:pPr>
        <w:ind w:left="2138" w:hanging="360"/>
      </w:pPr>
    </w:lvl>
    <w:lvl w:ilvl="1" w:tplc="240A0019">
      <w:start w:val="1"/>
      <w:numFmt w:val="lowerLetter"/>
      <w:lvlText w:val="%2."/>
      <w:lvlJc w:val="left"/>
      <w:pPr>
        <w:ind w:left="2858" w:hanging="360"/>
      </w:pPr>
    </w:lvl>
    <w:lvl w:ilvl="2" w:tplc="240A001B" w:tentative="1">
      <w:start w:val="1"/>
      <w:numFmt w:val="lowerRoman"/>
      <w:lvlText w:val="%3."/>
      <w:lvlJc w:val="right"/>
      <w:pPr>
        <w:ind w:left="3578" w:hanging="180"/>
      </w:pPr>
    </w:lvl>
    <w:lvl w:ilvl="3" w:tplc="240A000F" w:tentative="1">
      <w:start w:val="1"/>
      <w:numFmt w:val="decimal"/>
      <w:lvlText w:val="%4."/>
      <w:lvlJc w:val="left"/>
      <w:pPr>
        <w:ind w:left="4298" w:hanging="360"/>
      </w:pPr>
    </w:lvl>
    <w:lvl w:ilvl="4" w:tplc="240A0019" w:tentative="1">
      <w:start w:val="1"/>
      <w:numFmt w:val="lowerLetter"/>
      <w:lvlText w:val="%5."/>
      <w:lvlJc w:val="left"/>
      <w:pPr>
        <w:ind w:left="5018" w:hanging="360"/>
      </w:pPr>
    </w:lvl>
    <w:lvl w:ilvl="5" w:tplc="240A001B" w:tentative="1">
      <w:start w:val="1"/>
      <w:numFmt w:val="lowerRoman"/>
      <w:lvlText w:val="%6."/>
      <w:lvlJc w:val="right"/>
      <w:pPr>
        <w:ind w:left="5738" w:hanging="180"/>
      </w:pPr>
    </w:lvl>
    <w:lvl w:ilvl="6" w:tplc="240A000F" w:tentative="1">
      <w:start w:val="1"/>
      <w:numFmt w:val="decimal"/>
      <w:lvlText w:val="%7."/>
      <w:lvlJc w:val="left"/>
      <w:pPr>
        <w:ind w:left="6458" w:hanging="360"/>
      </w:pPr>
    </w:lvl>
    <w:lvl w:ilvl="7" w:tplc="240A0019" w:tentative="1">
      <w:start w:val="1"/>
      <w:numFmt w:val="lowerLetter"/>
      <w:lvlText w:val="%8."/>
      <w:lvlJc w:val="left"/>
      <w:pPr>
        <w:ind w:left="7178" w:hanging="360"/>
      </w:pPr>
    </w:lvl>
    <w:lvl w:ilvl="8" w:tplc="240A001B" w:tentative="1">
      <w:start w:val="1"/>
      <w:numFmt w:val="lowerRoman"/>
      <w:lvlText w:val="%9."/>
      <w:lvlJc w:val="right"/>
      <w:pPr>
        <w:ind w:left="7898" w:hanging="180"/>
      </w:pPr>
    </w:lvl>
  </w:abstractNum>
  <w:abstractNum w:abstractNumId="19" w15:restartNumberingAfterBreak="0">
    <w:nsid w:val="7FF22B4C"/>
    <w:multiLevelType w:val="hybridMultilevel"/>
    <w:tmpl w:val="77709072"/>
    <w:lvl w:ilvl="0" w:tplc="240A0001">
      <w:start w:val="1"/>
      <w:numFmt w:val="bullet"/>
      <w:lvlText w:val=""/>
      <w:lvlJc w:val="left"/>
      <w:pPr>
        <w:ind w:left="1776" w:hanging="360"/>
      </w:pPr>
      <w:rPr>
        <w:rFonts w:hint="default" w:ascii="Symbol" w:hAnsi="Symbol"/>
      </w:rPr>
    </w:lvl>
    <w:lvl w:ilvl="1" w:tplc="240A0003" w:tentative="1">
      <w:start w:val="1"/>
      <w:numFmt w:val="bullet"/>
      <w:lvlText w:val="o"/>
      <w:lvlJc w:val="left"/>
      <w:pPr>
        <w:ind w:left="2496" w:hanging="360"/>
      </w:pPr>
      <w:rPr>
        <w:rFonts w:hint="default" w:ascii="Courier New" w:hAnsi="Courier New" w:cs="Courier New"/>
      </w:rPr>
    </w:lvl>
    <w:lvl w:ilvl="2" w:tplc="240A0005" w:tentative="1">
      <w:start w:val="1"/>
      <w:numFmt w:val="bullet"/>
      <w:lvlText w:val=""/>
      <w:lvlJc w:val="left"/>
      <w:pPr>
        <w:ind w:left="3216" w:hanging="360"/>
      </w:pPr>
      <w:rPr>
        <w:rFonts w:hint="default" w:ascii="Wingdings" w:hAnsi="Wingdings"/>
      </w:rPr>
    </w:lvl>
    <w:lvl w:ilvl="3" w:tplc="240A0001" w:tentative="1">
      <w:start w:val="1"/>
      <w:numFmt w:val="bullet"/>
      <w:lvlText w:val=""/>
      <w:lvlJc w:val="left"/>
      <w:pPr>
        <w:ind w:left="3936" w:hanging="360"/>
      </w:pPr>
      <w:rPr>
        <w:rFonts w:hint="default" w:ascii="Symbol" w:hAnsi="Symbol"/>
      </w:rPr>
    </w:lvl>
    <w:lvl w:ilvl="4" w:tplc="240A0003" w:tentative="1">
      <w:start w:val="1"/>
      <w:numFmt w:val="bullet"/>
      <w:lvlText w:val="o"/>
      <w:lvlJc w:val="left"/>
      <w:pPr>
        <w:ind w:left="4656" w:hanging="360"/>
      </w:pPr>
      <w:rPr>
        <w:rFonts w:hint="default" w:ascii="Courier New" w:hAnsi="Courier New" w:cs="Courier New"/>
      </w:rPr>
    </w:lvl>
    <w:lvl w:ilvl="5" w:tplc="240A0005" w:tentative="1">
      <w:start w:val="1"/>
      <w:numFmt w:val="bullet"/>
      <w:lvlText w:val=""/>
      <w:lvlJc w:val="left"/>
      <w:pPr>
        <w:ind w:left="5376" w:hanging="360"/>
      </w:pPr>
      <w:rPr>
        <w:rFonts w:hint="default" w:ascii="Wingdings" w:hAnsi="Wingdings"/>
      </w:rPr>
    </w:lvl>
    <w:lvl w:ilvl="6" w:tplc="240A0001" w:tentative="1">
      <w:start w:val="1"/>
      <w:numFmt w:val="bullet"/>
      <w:lvlText w:val=""/>
      <w:lvlJc w:val="left"/>
      <w:pPr>
        <w:ind w:left="6096" w:hanging="360"/>
      </w:pPr>
      <w:rPr>
        <w:rFonts w:hint="default" w:ascii="Symbol" w:hAnsi="Symbol"/>
      </w:rPr>
    </w:lvl>
    <w:lvl w:ilvl="7" w:tplc="240A0003" w:tentative="1">
      <w:start w:val="1"/>
      <w:numFmt w:val="bullet"/>
      <w:lvlText w:val="o"/>
      <w:lvlJc w:val="left"/>
      <w:pPr>
        <w:ind w:left="6816" w:hanging="360"/>
      </w:pPr>
      <w:rPr>
        <w:rFonts w:hint="default" w:ascii="Courier New" w:hAnsi="Courier New" w:cs="Courier New"/>
      </w:rPr>
    </w:lvl>
    <w:lvl w:ilvl="8" w:tplc="240A0005" w:tentative="1">
      <w:start w:val="1"/>
      <w:numFmt w:val="bullet"/>
      <w:lvlText w:val=""/>
      <w:lvlJc w:val="left"/>
      <w:pPr>
        <w:ind w:left="7536" w:hanging="360"/>
      </w:pPr>
      <w:rPr>
        <w:rFonts w:hint="default" w:ascii="Wingdings" w:hAnsi="Wingdings"/>
      </w:rPr>
    </w:lvl>
  </w:abstractNum>
  <w:num w:numId="1" w16cid:durableId="942617499">
    <w:abstractNumId w:val="13"/>
  </w:num>
  <w:num w:numId="2" w16cid:durableId="1285381225">
    <w:abstractNumId w:val="3"/>
  </w:num>
  <w:num w:numId="3" w16cid:durableId="2085487780">
    <w:abstractNumId w:val="5"/>
  </w:num>
  <w:num w:numId="4" w16cid:durableId="2064131842">
    <w:abstractNumId w:val="0"/>
  </w:num>
  <w:num w:numId="5" w16cid:durableId="2102606958">
    <w:abstractNumId w:val="4"/>
  </w:num>
  <w:num w:numId="6" w16cid:durableId="194317982">
    <w:abstractNumId w:val="15"/>
  </w:num>
  <w:num w:numId="7" w16cid:durableId="981235519">
    <w:abstractNumId w:val="8"/>
  </w:num>
  <w:num w:numId="8" w16cid:durableId="1600793309">
    <w:abstractNumId w:val="2"/>
  </w:num>
  <w:num w:numId="9" w16cid:durableId="1292515262">
    <w:abstractNumId w:val="17"/>
  </w:num>
  <w:num w:numId="10" w16cid:durableId="1446467176">
    <w:abstractNumId w:val="6"/>
  </w:num>
  <w:num w:numId="11" w16cid:durableId="931741086">
    <w:abstractNumId w:val="11"/>
  </w:num>
  <w:num w:numId="12" w16cid:durableId="1830949269">
    <w:abstractNumId w:val="7"/>
  </w:num>
  <w:num w:numId="13" w16cid:durableId="17053682">
    <w:abstractNumId w:val="1"/>
  </w:num>
  <w:num w:numId="14" w16cid:durableId="970212327">
    <w:abstractNumId w:val="9"/>
  </w:num>
  <w:num w:numId="15" w16cid:durableId="1340229314">
    <w:abstractNumId w:val="12"/>
  </w:num>
  <w:num w:numId="16" w16cid:durableId="761729900">
    <w:abstractNumId w:val="14"/>
  </w:num>
  <w:num w:numId="17" w16cid:durableId="483083390">
    <w:abstractNumId w:val="10"/>
  </w:num>
  <w:num w:numId="18" w16cid:durableId="1899440790">
    <w:abstractNumId w:val="19"/>
  </w:num>
  <w:num w:numId="19" w16cid:durableId="154999748">
    <w:abstractNumId w:val="18"/>
  </w:num>
  <w:num w:numId="20" w16cid:durableId="100574129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382"/>
    <w:rsid w:val="00006956"/>
    <w:rsid w:val="00010DA1"/>
    <w:rsid w:val="00063629"/>
    <w:rsid w:val="0006625B"/>
    <w:rsid w:val="000D2557"/>
    <w:rsid w:val="000D649C"/>
    <w:rsid w:val="000E3441"/>
    <w:rsid w:val="001A2DBE"/>
    <w:rsid w:val="001D3A55"/>
    <w:rsid w:val="00233494"/>
    <w:rsid w:val="002703AF"/>
    <w:rsid w:val="00290850"/>
    <w:rsid w:val="002949BC"/>
    <w:rsid w:val="002AD5A6"/>
    <w:rsid w:val="002E08C4"/>
    <w:rsid w:val="0032722D"/>
    <w:rsid w:val="003347C2"/>
    <w:rsid w:val="00341FC6"/>
    <w:rsid w:val="00355A59"/>
    <w:rsid w:val="00385872"/>
    <w:rsid w:val="003A4FAC"/>
    <w:rsid w:val="003D2D38"/>
    <w:rsid w:val="003E04D1"/>
    <w:rsid w:val="003E49BA"/>
    <w:rsid w:val="00430AE4"/>
    <w:rsid w:val="0046204F"/>
    <w:rsid w:val="004711A2"/>
    <w:rsid w:val="00472F01"/>
    <w:rsid w:val="004803D6"/>
    <w:rsid w:val="00481706"/>
    <w:rsid w:val="00491B6A"/>
    <w:rsid w:val="004F46E1"/>
    <w:rsid w:val="00501CAD"/>
    <w:rsid w:val="00527818"/>
    <w:rsid w:val="00535DE0"/>
    <w:rsid w:val="00557985"/>
    <w:rsid w:val="00575115"/>
    <w:rsid w:val="00585344"/>
    <w:rsid w:val="0059299C"/>
    <w:rsid w:val="005C3F6B"/>
    <w:rsid w:val="005F4F75"/>
    <w:rsid w:val="0061715B"/>
    <w:rsid w:val="006222A6"/>
    <w:rsid w:val="00630253"/>
    <w:rsid w:val="00640E4A"/>
    <w:rsid w:val="006A5643"/>
    <w:rsid w:val="006A71F3"/>
    <w:rsid w:val="006D71F1"/>
    <w:rsid w:val="006E7609"/>
    <w:rsid w:val="006F7846"/>
    <w:rsid w:val="00767BAA"/>
    <w:rsid w:val="00773E39"/>
    <w:rsid w:val="0078021B"/>
    <w:rsid w:val="007A2E58"/>
    <w:rsid w:val="007B66C0"/>
    <w:rsid w:val="007C071D"/>
    <w:rsid w:val="007D4601"/>
    <w:rsid w:val="0081373C"/>
    <w:rsid w:val="00834160"/>
    <w:rsid w:val="00860739"/>
    <w:rsid w:val="00867322"/>
    <w:rsid w:val="008852AE"/>
    <w:rsid w:val="00886A46"/>
    <w:rsid w:val="008A5230"/>
    <w:rsid w:val="008C7637"/>
    <w:rsid w:val="00952292"/>
    <w:rsid w:val="009539FD"/>
    <w:rsid w:val="00982167"/>
    <w:rsid w:val="009D70B9"/>
    <w:rsid w:val="00A34F07"/>
    <w:rsid w:val="00A4595F"/>
    <w:rsid w:val="00A4614F"/>
    <w:rsid w:val="00A61FAC"/>
    <w:rsid w:val="00A85778"/>
    <w:rsid w:val="00A90B46"/>
    <w:rsid w:val="00AA1E5F"/>
    <w:rsid w:val="00AF2037"/>
    <w:rsid w:val="00B26382"/>
    <w:rsid w:val="00B37FA6"/>
    <w:rsid w:val="00B428E3"/>
    <w:rsid w:val="00B7354E"/>
    <w:rsid w:val="00B73A11"/>
    <w:rsid w:val="00B876A9"/>
    <w:rsid w:val="00BA63AC"/>
    <w:rsid w:val="00BC3D38"/>
    <w:rsid w:val="00C04292"/>
    <w:rsid w:val="00C522C7"/>
    <w:rsid w:val="00C7704C"/>
    <w:rsid w:val="00CB5E90"/>
    <w:rsid w:val="00CF1A68"/>
    <w:rsid w:val="00D02714"/>
    <w:rsid w:val="00D12A37"/>
    <w:rsid w:val="00D25B4A"/>
    <w:rsid w:val="00D72B7A"/>
    <w:rsid w:val="00DA6D61"/>
    <w:rsid w:val="00E05FF0"/>
    <w:rsid w:val="00E25A82"/>
    <w:rsid w:val="00E328BB"/>
    <w:rsid w:val="00E40EE4"/>
    <w:rsid w:val="00E47610"/>
    <w:rsid w:val="00E631FF"/>
    <w:rsid w:val="00E70403"/>
    <w:rsid w:val="00E86958"/>
    <w:rsid w:val="00EC7987"/>
    <w:rsid w:val="00ED4CAD"/>
    <w:rsid w:val="00F47060"/>
    <w:rsid w:val="00F55D21"/>
    <w:rsid w:val="00F56C9E"/>
    <w:rsid w:val="00F80099"/>
    <w:rsid w:val="00F82D19"/>
    <w:rsid w:val="0117B7D7"/>
    <w:rsid w:val="01200FF3"/>
    <w:rsid w:val="013E9B7B"/>
    <w:rsid w:val="0186FE99"/>
    <w:rsid w:val="01908518"/>
    <w:rsid w:val="01A4B2EA"/>
    <w:rsid w:val="01BCA564"/>
    <w:rsid w:val="01C6020F"/>
    <w:rsid w:val="01FEEC0D"/>
    <w:rsid w:val="023C75ED"/>
    <w:rsid w:val="02548E34"/>
    <w:rsid w:val="027E0B2E"/>
    <w:rsid w:val="02B338C4"/>
    <w:rsid w:val="02BDA3F5"/>
    <w:rsid w:val="02DCCB6C"/>
    <w:rsid w:val="0306DDDF"/>
    <w:rsid w:val="0357C5A3"/>
    <w:rsid w:val="03919276"/>
    <w:rsid w:val="03A832C4"/>
    <w:rsid w:val="03B485BF"/>
    <w:rsid w:val="03CF5C92"/>
    <w:rsid w:val="03CF76F4"/>
    <w:rsid w:val="03FE878A"/>
    <w:rsid w:val="043657E5"/>
    <w:rsid w:val="044EE118"/>
    <w:rsid w:val="0452B107"/>
    <w:rsid w:val="04620D8D"/>
    <w:rsid w:val="051F95C1"/>
    <w:rsid w:val="052CA4C5"/>
    <w:rsid w:val="054E42A3"/>
    <w:rsid w:val="055CB72D"/>
    <w:rsid w:val="0565CAE4"/>
    <w:rsid w:val="057F8E21"/>
    <w:rsid w:val="05821183"/>
    <w:rsid w:val="05A4A0E9"/>
    <w:rsid w:val="05A82491"/>
    <w:rsid w:val="05E8CEB5"/>
    <w:rsid w:val="05E98C90"/>
    <w:rsid w:val="060B300E"/>
    <w:rsid w:val="065973F2"/>
    <w:rsid w:val="065A7913"/>
    <w:rsid w:val="065DE822"/>
    <w:rsid w:val="0672AEB4"/>
    <w:rsid w:val="068E83B4"/>
    <w:rsid w:val="069B375A"/>
    <w:rsid w:val="06A1C3E2"/>
    <w:rsid w:val="06DA7968"/>
    <w:rsid w:val="06DEB313"/>
    <w:rsid w:val="07060CCE"/>
    <w:rsid w:val="07228CE1"/>
    <w:rsid w:val="07244361"/>
    <w:rsid w:val="0748ACFD"/>
    <w:rsid w:val="077198D3"/>
    <w:rsid w:val="078184FC"/>
    <w:rsid w:val="079010D6"/>
    <w:rsid w:val="07BD025A"/>
    <w:rsid w:val="07D56767"/>
    <w:rsid w:val="07D8203E"/>
    <w:rsid w:val="08684D7A"/>
    <w:rsid w:val="0878290C"/>
    <w:rsid w:val="0879F78B"/>
    <w:rsid w:val="087A5C58"/>
    <w:rsid w:val="08C8E56C"/>
    <w:rsid w:val="08E25D27"/>
    <w:rsid w:val="08EBD0E1"/>
    <w:rsid w:val="08F4B3D3"/>
    <w:rsid w:val="08F6016D"/>
    <w:rsid w:val="08FFF47E"/>
    <w:rsid w:val="0900DB9A"/>
    <w:rsid w:val="09408750"/>
    <w:rsid w:val="096B4BEE"/>
    <w:rsid w:val="098701B8"/>
    <w:rsid w:val="0989C2F2"/>
    <w:rsid w:val="099DF266"/>
    <w:rsid w:val="09A25DE9"/>
    <w:rsid w:val="09D6985A"/>
    <w:rsid w:val="09EDF0C7"/>
    <w:rsid w:val="0A309746"/>
    <w:rsid w:val="0A3C487F"/>
    <w:rsid w:val="0A3C781E"/>
    <w:rsid w:val="0A44A00B"/>
    <w:rsid w:val="0ACEE8CF"/>
    <w:rsid w:val="0AE333F5"/>
    <w:rsid w:val="0AF30573"/>
    <w:rsid w:val="0AF6C226"/>
    <w:rsid w:val="0B1A587E"/>
    <w:rsid w:val="0B251CD8"/>
    <w:rsid w:val="0B2F24C3"/>
    <w:rsid w:val="0B85C8AB"/>
    <w:rsid w:val="0B9081A4"/>
    <w:rsid w:val="0B98ED01"/>
    <w:rsid w:val="0BCAD63F"/>
    <w:rsid w:val="0BF28975"/>
    <w:rsid w:val="0BF3710A"/>
    <w:rsid w:val="0C053838"/>
    <w:rsid w:val="0C1CC400"/>
    <w:rsid w:val="0C3540AA"/>
    <w:rsid w:val="0C3CA362"/>
    <w:rsid w:val="0C5A9A87"/>
    <w:rsid w:val="0C5CA66A"/>
    <w:rsid w:val="0C764CE5"/>
    <w:rsid w:val="0C94A52B"/>
    <w:rsid w:val="0CA05939"/>
    <w:rsid w:val="0CB242FC"/>
    <w:rsid w:val="0CCB6729"/>
    <w:rsid w:val="0CD14746"/>
    <w:rsid w:val="0CDA560B"/>
    <w:rsid w:val="0CFEBCBF"/>
    <w:rsid w:val="0D28320E"/>
    <w:rsid w:val="0D2EBFDE"/>
    <w:rsid w:val="0D625A40"/>
    <w:rsid w:val="0D74801D"/>
    <w:rsid w:val="0D96EB2A"/>
    <w:rsid w:val="0DABE27D"/>
    <w:rsid w:val="0DB6C5AB"/>
    <w:rsid w:val="0DE2FCA5"/>
    <w:rsid w:val="0DE4E454"/>
    <w:rsid w:val="0DF54730"/>
    <w:rsid w:val="0DFC10A2"/>
    <w:rsid w:val="0E083C1A"/>
    <w:rsid w:val="0E0D9D65"/>
    <w:rsid w:val="0E34E869"/>
    <w:rsid w:val="0E3B63EE"/>
    <w:rsid w:val="0E4C08B4"/>
    <w:rsid w:val="0E4FCB58"/>
    <w:rsid w:val="0E5FB6C9"/>
    <w:rsid w:val="0E6EB847"/>
    <w:rsid w:val="0E774C76"/>
    <w:rsid w:val="0E7C041E"/>
    <w:rsid w:val="0E7D649A"/>
    <w:rsid w:val="0E986DDC"/>
    <w:rsid w:val="0EB284D0"/>
    <w:rsid w:val="0EC481DD"/>
    <w:rsid w:val="0ED2FC88"/>
    <w:rsid w:val="0EF98935"/>
    <w:rsid w:val="0EFACB42"/>
    <w:rsid w:val="0F1FB20D"/>
    <w:rsid w:val="0F2BB1FB"/>
    <w:rsid w:val="0F312DEC"/>
    <w:rsid w:val="0F333F0D"/>
    <w:rsid w:val="0F438F3A"/>
    <w:rsid w:val="0F5F2BAC"/>
    <w:rsid w:val="0F7A290D"/>
    <w:rsid w:val="0FA71C24"/>
    <w:rsid w:val="0FF016C9"/>
    <w:rsid w:val="1013EE1C"/>
    <w:rsid w:val="10148C70"/>
    <w:rsid w:val="10203A6C"/>
    <w:rsid w:val="1020648C"/>
    <w:rsid w:val="1038F299"/>
    <w:rsid w:val="10778876"/>
    <w:rsid w:val="10995E9F"/>
    <w:rsid w:val="109A23C5"/>
    <w:rsid w:val="10A15711"/>
    <w:rsid w:val="10C20D76"/>
    <w:rsid w:val="112BF602"/>
    <w:rsid w:val="1148B775"/>
    <w:rsid w:val="1154070E"/>
    <w:rsid w:val="1188C0D5"/>
    <w:rsid w:val="118E4149"/>
    <w:rsid w:val="11A09D8A"/>
    <w:rsid w:val="11C11140"/>
    <w:rsid w:val="11D40BE2"/>
    <w:rsid w:val="12087B12"/>
    <w:rsid w:val="12552917"/>
    <w:rsid w:val="126A22C8"/>
    <w:rsid w:val="12778A55"/>
    <w:rsid w:val="1288D5D0"/>
    <w:rsid w:val="12B056AC"/>
    <w:rsid w:val="12DF248C"/>
    <w:rsid w:val="12FAFB35"/>
    <w:rsid w:val="13203BFC"/>
    <w:rsid w:val="132C6628"/>
    <w:rsid w:val="133D5E2F"/>
    <w:rsid w:val="1342E079"/>
    <w:rsid w:val="134A7DD5"/>
    <w:rsid w:val="134C2C6A"/>
    <w:rsid w:val="1372ED26"/>
    <w:rsid w:val="1377F22B"/>
    <w:rsid w:val="13BECF8F"/>
    <w:rsid w:val="13D892B7"/>
    <w:rsid w:val="13DD861F"/>
    <w:rsid w:val="13E13F85"/>
    <w:rsid w:val="13E81F7B"/>
    <w:rsid w:val="14032BA5"/>
    <w:rsid w:val="141F6CC3"/>
    <w:rsid w:val="14435424"/>
    <w:rsid w:val="144597B5"/>
    <w:rsid w:val="1450F699"/>
    <w:rsid w:val="1458558C"/>
    <w:rsid w:val="145A24D2"/>
    <w:rsid w:val="149AF712"/>
    <w:rsid w:val="14A65400"/>
    <w:rsid w:val="14AE5DD5"/>
    <w:rsid w:val="14D0E568"/>
    <w:rsid w:val="14DCF2C6"/>
    <w:rsid w:val="14FF3885"/>
    <w:rsid w:val="15110763"/>
    <w:rsid w:val="154A6CA4"/>
    <w:rsid w:val="15597159"/>
    <w:rsid w:val="15715DE9"/>
    <w:rsid w:val="158884C5"/>
    <w:rsid w:val="15A19DB1"/>
    <w:rsid w:val="15C2B1BD"/>
    <w:rsid w:val="15DB7C47"/>
    <w:rsid w:val="15F81C05"/>
    <w:rsid w:val="15FB5129"/>
    <w:rsid w:val="16011556"/>
    <w:rsid w:val="160EA06B"/>
    <w:rsid w:val="1636C67C"/>
    <w:rsid w:val="163A2D33"/>
    <w:rsid w:val="1663D332"/>
    <w:rsid w:val="167DD435"/>
    <w:rsid w:val="16C229E9"/>
    <w:rsid w:val="16CD5DEF"/>
    <w:rsid w:val="16CEEBD4"/>
    <w:rsid w:val="16E1FFFD"/>
    <w:rsid w:val="17044D8E"/>
    <w:rsid w:val="170ABB35"/>
    <w:rsid w:val="17111B6A"/>
    <w:rsid w:val="1723AFEF"/>
    <w:rsid w:val="1733213D"/>
    <w:rsid w:val="17435A6E"/>
    <w:rsid w:val="1751733E"/>
    <w:rsid w:val="1767D691"/>
    <w:rsid w:val="176E62DA"/>
    <w:rsid w:val="178A48AA"/>
    <w:rsid w:val="17962509"/>
    <w:rsid w:val="179952A8"/>
    <w:rsid w:val="17AC5BE6"/>
    <w:rsid w:val="17B11263"/>
    <w:rsid w:val="17D2F819"/>
    <w:rsid w:val="17EC08AA"/>
    <w:rsid w:val="17F6ECB7"/>
    <w:rsid w:val="18137A38"/>
    <w:rsid w:val="18294768"/>
    <w:rsid w:val="183D012E"/>
    <w:rsid w:val="184AA773"/>
    <w:rsid w:val="1854BC4A"/>
    <w:rsid w:val="1855585A"/>
    <w:rsid w:val="18759732"/>
    <w:rsid w:val="189BC00D"/>
    <w:rsid w:val="18A2DB66"/>
    <w:rsid w:val="18A8A207"/>
    <w:rsid w:val="18B512C8"/>
    <w:rsid w:val="18C85912"/>
    <w:rsid w:val="192B6295"/>
    <w:rsid w:val="19337534"/>
    <w:rsid w:val="1987CC8B"/>
    <w:rsid w:val="199EBB6D"/>
    <w:rsid w:val="19C530A1"/>
    <w:rsid w:val="19F06434"/>
    <w:rsid w:val="1A033D47"/>
    <w:rsid w:val="1A10CBEE"/>
    <w:rsid w:val="1A124A31"/>
    <w:rsid w:val="1A21D8B7"/>
    <w:rsid w:val="1A28BEB0"/>
    <w:rsid w:val="1A3909CF"/>
    <w:rsid w:val="1A3A034C"/>
    <w:rsid w:val="1A4DBA02"/>
    <w:rsid w:val="1A83EA59"/>
    <w:rsid w:val="1A861C88"/>
    <w:rsid w:val="1A8ADC3A"/>
    <w:rsid w:val="1A9A8D45"/>
    <w:rsid w:val="1AAC9DC5"/>
    <w:rsid w:val="1AB5FB7E"/>
    <w:rsid w:val="1ADF4C49"/>
    <w:rsid w:val="1AE52C50"/>
    <w:rsid w:val="1AE79570"/>
    <w:rsid w:val="1AEC7626"/>
    <w:rsid w:val="1AF2D06F"/>
    <w:rsid w:val="1B06EA2C"/>
    <w:rsid w:val="1B09B8F8"/>
    <w:rsid w:val="1B114688"/>
    <w:rsid w:val="1B4F8F7C"/>
    <w:rsid w:val="1B5365D3"/>
    <w:rsid w:val="1B72D348"/>
    <w:rsid w:val="1B890322"/>
    <w:rsid w:val="1BA4A931"/>
    <w:rsid w:val="1BB41732"/>
    <w:rsid w:val="1C7069A6"/>
    <w:rsid w:val="1C91D12D"/>
    <w:rsid w:val="1CDBD3E9"/>
    <w:rsid w:val="1CEC6476"/>
    <w:rsid w:val="1CECE983"/>
    <w:rsid w:val="1D08B857"/>
    <w:rsid w:val="1D9254B7"/>
    <w:rsid w:val="1DBBAFA8"/>
    <w:rsid w:val="1DCA77BB"/>
    <w:rsid w:val="1E076DD7"/>
    <w:rsid w:val="1E31B753"/>
    <w:rsid w:val="1E3874BC"/>
    <w:rsid w:val="1E6E3A24"/>
    <w:rsid w:val="1E77C0D9"/>
    <w:rsid w:val="1E8ACB53"/>
    <w:rsid w:val="1E98DEFD"/>
    <w:rsid w:val="1EA19A67"/>
    <w:rsid w:val="1EB355D1"/>
    <w:rsid w:val="1ED7180A"/>
    <w:rsid w:val="1F2711CA"/>
    <w:rsid w:val="1F48C083"/>
    <w:rsid w:val="1F71D575"/>
    <w:rsid w:val="1F894B76"/>
    <w:rsid w:val="1FBDC54A"/>
    <w:rsid w:val="1FBF4460"/>
    <w:rsid w:val="1FCF0124"/>
    <w:rsid w:val="1FD7ABEC"/>
    <w:rsid w:val="1FE66F4D"/>
    <w:rsid w:val="1FF08209"/>
    <w:rsid w:val="2018D720"/>
    <w:rsid w:val="203852F6"/>
    <w:rsid w:val="2040454C"/>
    <w:rsid w:val="205DF051"/>
    <w:rsid w:val="206C2CE6"/>
    <w:rsid w:val="207E6825"/>
    <w:rsid w:val="208290C4"/>
    <w:rsid w:val="208444C4"/>
    <w:rsid w:val="20AC060B"/>
    <w:rsid w:val="20B4AAB3"/>
    <w:rsid w:val="20BB9CA0"/>
    <w:rsid w:val="20BEF536"/>
    <w:rsid w:val="20C5513B"/>
    <w:rsid w:val="20D2219F"/>
    <w:rsid w:val="20D904D7"/>
    <w:rsid w:val="20DA1860"/>
    <w:rsid w:val="20FF4862"/>
    <w:rsid w:val="21246FED"/>
    <w:rsid w:val="21248A45"/>
    <w:rsid w:val="215998F8"/>
    <w:rsid w:val="215CA0EC"/>
    <w:rsid w:val="21B3F60A"/>
    <w:rsid w:val="21BDF014"/>
    <w:rsid w:val="22079376"/>
    <w:rsid w:val="220AB6A7"/>
    <w:rsid w:val="2218082C"/>
    <w:rsid w:val="22462C80"/>
    <w:rsid w:val="22572594"/>
    <w:rsid w:val="22A391EF"/>
    <w:rsid w:val="22B58B12"/>
    <w:rsid w:val="22CD7610"/>
    <w:rsid w:val="22D71D15"/>
    <w:rsid w:val="22EA2CF8"/>
    <w:rsid w:val="22EA3732"/>
    <w:rsid w:val="230DD370"/>
    <w:rsid w:val="233D158A"/>
    <w:rsid w:val="2353AE33"/>
    <w:rsid w:val="237CAA1C"/>
    <w:rsid w:val="23DD3DA5"/>
    <w:rsid w:val="2406114B"/>
    <w:rsid w:val="240F02B4"/>
    <w:rsid w:val="240F05C1"/>
    <w:rsid w:val="241E5147"/>
    <w:rsid w:val="2420646C"/>
    <w:rsid w:val="24300C85"/>
    <w:rsid w:val="244FDA37"/>
    <w:rsid w:val="24840C66"/>
    <w:rsid w:val="24B666B3"/>
    <w:rsid w:val="24BFA6EE"/>
    <w:rsid w:val="24CD6965"/>
    <w:rsid w:val="24E25C02"/>
    <w:rsid w:val="24F21FCD"/>
    <w:rsid w:val="250ABA29"/>
    <w:rsid w:val="2577DA31"/>
    <w:rsid w:val="25A4227E"/>
    <w:rsid w:val="25AE2BB5"/>
    <w:rsid w:val="25D325F1"/>
    <w:rsid w:val="25FBBE6A"/>
    <w:rsid w:val="261A1D58"/>
    <w:rsid w:val="264E66FA"/>
    <w:rsid w:val="2675AAF7"/>
    <w:rsid w:val="268A9FCE"/>
    <w:rsid w:val="269C1202"/>
    <w:rsid w:val="269EC890"/>
    <w:rsid w:val="26AA6191"/>
    <w:rsid w:val="26B54ECF"/>
    <w:rsid w:val="26BB5287"/>
    <w:rsid w:val="26BC7903"/>
    <w:rsid w:val="26C39D52"/>
    <w:rsid w:val="26F4622C"/>
    <w:rsid w:val="27285B38"/>
    <w:rsid w:val="272B87BD"/>
    <w:rsid w:val="2758E9BA"/>
    <w:rsid w:val="276D0680"/>
    <w:rsid w:val="2785B804"/>
    <w:rsid w:val="27A07FFC"/>
    <w:rsid w:val="27AAE1F0"/>
    <w:rsid w:val="27DBED4C"/>
    <w:rsid w:val="2807C1C6"/>
    <w:rsid w:val="2857AAE5"/>
    <w:rsid w:val="286935AA"/>
    <w:rsid w:val="2878277F"/>
    <w:rsid w:val="288CD837"/>
    <w:rsid w:val="28B64575"/>
    <w:rsid w:val="28DC2BA0"/>
    <w:rsid w:val="29057E7C"/>
    <w:rsid w:val="29221E8E"/>
    <w:rsid w:val="2938DB1F"/>
    <w:rsid w:val="295142A2"/>
    <w:rsid w:val="296DAC35"/>
    <w:rsid w:val="299453F9"/>
    <w:rsid w:val="2A04176F"/>
    <w:rsid w:val="2A627FC0"/>
    <w:rsid w:val="2A6E0161"/>
    <w:rsid w:val="2A73AD98"/>
    <w:rsid w:val="2A8F3C1A"/>
    <w:rsid w:val="2AAB382B"/>
    <w:rsid w:val="2AB1DA4F"/>
    <w:rsid w:val="2ABB285E"/>
    <w:rsid w:val="2AC92591"/>
    <w:rsid w:val="2ADBA4FE"/>
    <w:rsid w:val="2B0E95EE"/>
    <w:rsid w:val="2B29370C"/>
    <w:rsid w:val="2B3E2D48"/>
    <w:rsid w:val="2B4D2FAD"/>
    <w:rsid w:val="2B9BE634"/>
    <w:rsid w:val="2B9E0642"/>
    <w:rsid w:val="2BB3983B"/>
    <w:rsid w:val="2BF70317"/>
    <w:rsid w:val="2BF95C0A"/>
    <w:rsid w:val="2BFD0281"/>
    <w:rsid w:val="2C1D6F43"/>
    <w:rsid w:val="2C2F1EC9"/>
    <w:rsid w:val="2C52FF74"/>
    <w:rsid w:val="2C6CF5A5"/>
    <w:rsid w:val="2C95D396"/>
    <w:rsid w:val="2CBAD460"/>
    <w:rsid w:val="2CD26EFD"/>
    <w:rsid w:val="2CD9D116"/>
    <w:rsid w:val="2D09BDB8"/>
    <w:rsid w:val="2D30EE40"/>
    <w:rsid w:val="2D41084B"/>
    <w:rsid w:val="2D55AB5D"/>
    <w:rsid w:val="2D80289B"/>
    <w:rsid w:val="2D9546CA"/>
    <w:rsid w:val="2DA2419D"/>
    <w:rsid w:val="2DD89A7F"/>
    <w:rsid w:val="2DF77AD3"/>
    <w:rsid w:val="2E0B56DA"/>
    <w:rsid w:val="2E104C06"/>
    <w:rsid w:val="2E63D3E6"/>
    <w:rsid w:val="2E8FE736"/>
    <w:rsid w:val="2EAA5551"/>
    <w:rsid w:val="2EBBF713"/>
    <w:rsid w:val="2EECA466"/>
    <w:rsid w:val="2F41E972"/>
    <w:rsid w:val="2F488146"/>
    <w:rsid w:val="2F5A8747"/>
    <w:rsid w:val="2F9EC113"/>
    <w:rsid w:val="2FA73B06"/>
    <w:rsid w:val="2FAF0E0D"/>
    <w:rsid w:val="2FC6841D"/>
    <w:rsid w:val="300EB6B0"/>
    <w:rsid w:val="30209C4D"/>
    <w:rsid w:val="302A3952"/>
    <w:rsid w:val="3098AAB3"/>
    <w:rsid w:val="30AE7993"/>
    <w:rsid w:val="30B9F5A8"/>
    <w:rsid w:val="30C4F8EE"/>
    <w:rsid w:val="30E878E8"/>
    <w:rsid w:val="30E9A5CD"/>
    <w:rsid w:val="30F346EA"/>
    <w:rsid w:val="30FC71F1"/>
    <w:rsid w:val="310AF1BD"/>
    <w:rsid w:val="3123F72C"/>
    <w:rsid w:val="3129360F"/>
    <w:rsid w:val="313E75BA"/>
    <w:rsid w:val="31735820"/>
    <w:rsid w:val="31769E49"/>
    <w:rsid w:val="318DD199"/>
    <w:rsid w:val="31B0FBD5"/>
    <w:rsid w:val="31D070F5"/>
    <w:rsid w:val="31D9B8D8"/>
    <w:rsid w:val="31EAC48A"/>
    <w:rsid w:val="31FC86F7"/>
    <w:rsid w:val="320A28DF"/>
    <w:rsid w:val="321374E4"/>
    <w:rsid w:val="326CE292"/>
    <w:rsid w:val="3273DE86"/>
    <w:rsid w:val="328A51D7"/>
    <w:rsid w:val="32B5B4F8"/>
    <w:rsid w:val="32D20E8A"/>
    <w:rsid w:val="32FC1982"/>
    <w:rsid w:val="33133E7A"/>
    <w:rsid w:val="33142112"/>
    <w:rsid w:val="331A129B"/>
    <w:rsid w:val="332D231E"/>
    <w:rsid w:val="337D8327"/>
    <w:rsid w:val="339FA865"/>
    <w:rsid w:val="33ADCC24"/>
    <w:rsid w:val="33AE7AD6"/>
    <w:rsid w:val="33EA9394"/>
    <w:rsid w:val="341714C4"/>
    <w:rsid w:val="34259323"/>
    <w:rsid w:val="344BDFF3"/>
    <w:rsid w:val="3501030E"/>
    <w:rsid w:val="35026122"/>
    <w:rsid w:val="35509794"/>
    <w:rsid w:val="35689F8E"/>
    <w:rsid w:val="3590E418"/>
    <w:rsid w:val="3591BF58"/>
    <w:rsid w:val="35FE5CA9"/>
    <w:rsid w:val="3626B35A"/>
    <w:rsid w:val="36377AC2"/>
    <w:rsid w:val="364380F4"/>
    <w:rsid w:val="36A26209"/>
    <w:rsid w:val="372B1E88"/>
    <w:rsid w:val="374DC57A"/>
    <w:rsid w:val="37678A68"/>
    <w:rsid w:val="37884B77"/>
    <w:rsid w:val="378EB861"/>
    <w:rsid w:val="378EF831"/>
    <w:rsid w:val="37B095C3"/>
    <w:rsid w:val="37DE67B6"/>
    <w:rsid w:val="37F7D60E"/>
    <w:rsid w:val="3819EAEF"/>
    <w:rsid w:val="382352B1"/>
    <w:rsid w:val="384ADAC7"/>
    <w:rsid w:val="3863B1EE"/>
    <w:rsid w:val="3870ADC5"/>
    <w:rsid w:val="3873B5E5"/>
    <w:rsid w:val="387465D5"/>
    <w:rsid w:val="387E07E5"/>
    <w:rsid w:val="389ED3E5"/>
    <w:rsid w:val="38A666BD"/>
    <w:rsid w:val="38B38889"/>
    <w:rsid w:val="38DF61F6"/>
    <w:rsid w:val="3907EB78"/>
    <w:rsid w:val="39098226"/>
    <w:rsid w:val="3942287B"/>
    <w:rsid w:val="39AF935C"/>
    <w:rsid w:val="39B0C8D3"/>
    <w:rsid w:val="39B6EF0B"/>
    <w:rsid w:val="39C079C2"/>
    <w:rsid w:val="39CB9B95"/>
    <w:rsid w:val="39F0F761"/>
    <w:rsid w:val="3A1BB042"/>
    <w:rsid w:val="3A2F5FD3"/>
    <w:rsid w:val="3A4C34AB"/>
    <w:rsid w:val="3A6F73C1"/>
    <w:rsid w:val="3A6FC807"/>
    <w:rsid w:val="3A910066"/>
    <w:rsid w:val="3AB5A1C7"/>
    <w:rsid w:val="3ACE2356"/>
    <w:rsid w:val="3AF330F5"/>
    <w:rsid w:val="3AF8C32D"/>
    <w:rsid w:val="3B6C531F"/>
    <w:rsid w:val="3BD67C1C"/>
    <w:rsid w:val="3C01D427"/>
    <w:rsid w:val="3C21C06D"/>
    <w:rsid w:val="3C279E6B"/>
    <w:rsid w:val="3C4AE27C"/>
    <w:rsid w:val="3C6E0A84"/>
    <w:rsid w:val="3C88C482"/>
    <w:rsid w:val="3C909B84"/>
    <w:rsid w:val="3C994377"/>
    <w:rsid w:val="3CA1B080"/>
    <w:rsid w:val="3CCD4500"/>
    <w:rsid w:val="3CDFFD50"/>
    <w:rsid w:val="3CF518C2"/>
    <w:rsid w:val="3D184857"/>
    <w:rsid w:val="3D5EE7F1"/>
    <w:rsid w:val="3D98E69A"/>
    <w:rsid w:val="3DA7F92B"/>
    <w:rsid w:val="3DAB12AC"/>
    <w:rsid w:val="3DD2F499"/>
    <w:rsid w:val="3DDEA218"/>
    <w:rsid w:val="3DE27DB9"/>
    <w:rsid w:val="3DFE2206"/>
    <w:rsid w:val="3E23F46D"/>
    <w:rsid w:val="3E4F4AD1"/>
    <w:rsid w:val="3E705710"/>
    <w:rsid w:val="3EA0B9CA"/>
    <w:rsid w:val="3ECC5543"/>
    <w:rsid w:val="3EFB22A7"/>
    <w:rsid w:val="3F15A4E5"/>
    <w:rsid w:val="3F40E118"/>
    <w:rsid w:val="3F42AB88"/>
    <w:rsid w:val="3F431E07"/>
    <w:rsid w:val="3F8B670C"/>
    <w:rsid w:val="3FA7B3A7"/>
    <w:rsid w:val="3FC76EC8"/>
    <w:rsid w:val="3FE6DD75"/>
    <w:rsid w:val="4012A899"/>
    <w:rsid w:val="408E5FCD"/>
    <w:rsid w:val="40A99D8B"/>
    <w:rsid w:val="40D17B91"/>
    <w:rsid w:val="40DF6D95"/>
    <w:rsid w:val="4155FF60"/>
    <w:rsid w:val="415B513D"/>
    <w:rsid w:val="41D3EF77"/>
    <w:rsid w:val="41EBA417"/>
    <w:rsid w:val="4207E9A0"/>
    <w:rsid w:val="4243CA8E"/>
    <w:rsid w:val="42557D43"/>
    <w:rsid w:val="427088F9"/>
    <w:rsid w:val="428EC918"/>
    <w:rsid w:val="42A5287E"/>
    <w:rsid w:val="42B9D124"/>
    <w:rsid w:val="42B9EB3C"/>
    <w:rsid w:val="430358B2"/>
    <w:rsid w:val="430AB6E6"/>
    <w:rsid w:val="431B83C1"/>
    <w:rsid w:val="434BF45B"/>
    <w:rsid w:val="43857527"/>
    <w:rsid w:val="4396D8A1"/>
    <w:rsid w:val="43A81F25"/>
    <w:rsid w:val="43AB5D16"/>
    <w:rsid w:val="43AC42BB"/>
    <w:rsid w:val="43ADC582"/>
    <w:rsid w:val="43E2ED85"/>
    <w:rsid w:val="4429AB40"/>
    <w:rsid w:val="4439C99D"/>
    <w:rsid w:val="443C0DB9"/>
    <w:rsid w:val="44539DB2"/>
    <w:rsid w:val="445565A1"/>
    <w:rsid w:val="44D2B5F2"/>
    <w:rsid w:val="4531F2F9"/>
    <w:rsid w:val="453CE9EC"/>
    <w:rsid w:val="454D22E1"/>
    <w:rsid w:val="45544293"/>
    <w:rsid w:val="45C543CF"/>
    <w:rsid w:val="45F6B40D"/>
    <w:rsid w:val="464C278D"/>
    <w:rsid w:val="464EC136"/>
    <w:rsid w:val="4668A5CD"/>
    <w:rsid w:val="4680783A"/>
    <w:rsid w:val="46812DC5"/>
    <w:rsid w:val="468633D2"/>
    <w:rsid w:val="4695E40D"/>
    <w:rsid w:val="46EC2680"/>
    <w:rsid w:val="46FA695B"/>
    <w:rsid w:val="4701F8B5"/>
    <w:rsid w:val="470F3795"/>
    <w:rsid w:val="47588117"/>
    <w:rsid w:val="475F0AFB"/>
    <w:rsid w:val="478C44FC"/>
    <w:rsid w:val="4798B665"/>
    <w:rsid w:val="47A1F084"/>
    <w:rsid w:val="47E169ED"/>
    <w:rsid w:val="47E7ACF7"/>
    <w:rsid w:val="47ED91FD"/>
    <w:rsid w:val="481EA6F9"/>
    <w:rsid w:val="489B8D15"/>
    <w:rsid w:val="48BEDD81"/>
    <w:rsid w:val="48C6628A"/>
    <w:rsid w:val="48C9574A"/>
    <w:rsid w:val="48F989A0"/>
    <w:rsid w:val="48FCD0F0"/>
    <w:rsid w:val="4925F670"/>
    <w:rsid w:val="4968D030"/>
    <w:rsid w:val="4985D395"/>
    <w:rsid w:val="49921A5A"/>
    <w:rsid w:val="49AEF870"/>
    <w:rsid w:val="49E01D82"/>
    <w:rsid w:val="4A5E4284"/>
    <w:rsid w:val="4A7B8907"/>
    <w:rsid w:val="4A8004E8"/>
    <w:rsid w:val="4A9B088B"/>
    <w:rsid w:val="4AE2BED4"/>
    <w:rsid w:val="4B0A0DAC"/>
    <w:rsid w:val="4B19E3D4"/>
    <w:rsid w:val="4B1B09A2"/>
    <w:rsid w:val="4B1C1552"/>
    <w:rsid w:val="4B3C5C1F"/>
    <w:rsid w:val="4B5BD64B"/>
    <w:rsid w:val="4B6A075F"/>
    <w:rsid w:val="4B7CEC31"/>
    <w:rsid w:val="4B8717A4"/>
    <w:rsid w:val="4C57D540"/>
    <w:rsid w:val="4C6207FB"/>
    <w:rsid w:val="4C8E7588"/>
    <w:rsid w:val="4CCF2184"/>
    <w:rsid w:val="4CFE458A"/>
    <w:rsid w:val="4D233470"/>
    <w:rsid w:val="4D47EDFF"/>
    <w:rsid w:val="4D7B9A61"/>
    <w:rsid w:val="4DE15DC7"/>
    <w:rsid w:val="4DEF332C"/>
    <w:rsid w:val="4DF6D8DF"/>
    <w:rsid w:val="4DFEB53C"/>
    <w:rsid w:val="4E04405D"/>
    <w:rsid w:val="4E0F012D"/>
    <w:rsid w:val="4E189279"/>
    <w:rsid w:val="4E359585"/>
    <w:rsid w:val="4E5E8258"/>
    <w:rsid w:val="4E8D1326"/>
    <w:rsid w:val="4EC2E5E8"/>
    <w:rsid w:val="4EC3F050"/>
    <w:rsid w:val="4EDAAB0E"/>
    <w:rsid w:val="4F0BC00C"/>
    <w:rsid w:val="4F0D76EA"/>
    <w:rsid w:val="4F0DC543"/>
    <w:rsid w:val="4F3CBE11"/>
    <w:rsid w:val="4F3CE83E"/>
    <w:rsid w:val="4F470ED8"/>
    <w:rsid w:val="4F51ADD2"/>
    <w:rsid w:val="4F5A9C4F"/>
    <w:rsid w:val="4F64D054"/>
    <w:rsid w:val="4F686DE1"/>
    <w:rsid w:val="4FC2E7E1"/>
    <w:rsid w:val="501093BF"/>
    <w:rsid w:val="501C141A"/>
    <w:rsid w:val="50378BC3"/>
    <w:rsid w:val="5043A7D3"/>
    <w:rsid w:val="5065A406"/>
    <w:rsid w:val="50663009"/>
    <w:rsid w:val="50785855"/>
    <w:rsid w:val="50E3EAB8"/>
    <w:rsid w:val="510E9878"/>
    <w:rsid w:val="511BA82E"/>
    <w:rsid w:val="51236121"/>
    <w:rsid w:val="51294F14"/>
    <w:rsid w:val="5147D7B5"/>
    <w:rsid w:val="5158B1E3"/>
    <w:rsid w:val="516389D3"/>
    <w:rsid w:val="516F6911"/>
    <w:rsid w:val="51A18CC8"/>
    <w:rsid w:val="51B2D6E8"/>
    <w:rsid w:val="51BA2696"/>
    <w:rsid w:val="51C5AB11"/>
    <w:rsid w:val="51D4E637"/>
    <w:rsid w:val="51DC1F36"/>
    <w:rsid w:val="51EF6B93"/>
    <w:rsid w:val="5243A4B8"/>
    <w:rsid w:val="525891CF"/>
    <w:rsid w:val="528727EF"/>
    <w:rsid w:val="52B10D08"/>
    <w:rsid w:val="52E10336"/>
    <w:rsid w:val="52FCF7DD"/>
    <w:rsid w:val="52FD7F70"/>
    <w:rsid w:val="53029884"/>
    <w:rsid w:val="5350812B"/>
    <w:rsid w:val="5394A3D0"/>
    <w:rsid w:val="53AE3339"/>
    <w:rsid w:val="53CFFD80"/>
    <w:rsid w:val="543580FC"/>
    <w:rsid w:val="545886DE"/>
    <w:rsid w:val="5458C8C1"/>
    <w:rsid w:val="545F45E5"/>
    <w:rsid w:val="54695CCB"/>
    <w:rsid w:val="54EF8E43"/>
    <w:rsid w:val="54FA98DC"/>
    <w:rsid w:val="554615C5"/>
    <w:rsid w:val="55703D0B"/>
    <w:rsid w:val="5581A22F"/>
    <w:rsid w:val="5589A005"/>
    <w:rsid w:val="559DFEEE"/>
    <w:rsid w:val="55C27A50"/>
    <w:rsid w:val="55C61A4B"/>
    <w:rsid w:val="55DE1A2D"/>
    <w:rsid w:val="55EBC2CE"/>
    <w:rsid w:val="55F7582C"/>
    <w:rsid w:val="560E8140"/>
    <w:rsid w:val="5648C09F"/>
    <w:rsid w:val="564AA7E8"/>
    <w:rsid w:val="5674018B"/>
    <w:rsid w:val="567DD9E5"/>
    <w:rsid w:val="5691DEC7"/>
    <w:rsid w:val="569F4F19"/>
    <w:rsid w:val="56A33683"/>
    <w:rsid w:val="56A3B12F"/>
    <w:rsid w:val="56B48A27"/>
    <w:rsid w:val="56BF89E9"/>
    <w:rsid w:val="56EC4E20"/>
    <w:rsid w:val="56F251ED"/>
    <w:rsid w:val="574E8B0F"/>
    <w:rsid w:val="575674CC"/>
    <w:rsid w:val="576C7565"/>
    <w:rsid w:val="57990CD3"/>
    <w:rsid w:val="57BAD7C4"/>
    <w:rsid w:val="57C3BBCA"/>
    <w:rsid w:val="57C55F35"/>
    <w:rsid w:val="57DE3109"/>
    <w:rsid w:val="57E89687"/>
    <w:rsid w:val="580F5208"/>
    <w:rsid w:val="58231294"/>
    <w:rsid w:val="582FA755"/>
    <w:rsid w:val="584154D8"/>
    <w:rsid w:val="586F2BCC"/>
    <w:rsid w:val="58825FF3"/>
    <w:rsid w:val="5882D371"/>
    <w:rsid w:val="58DBE7C5"/>
    <w:rsid w:val="58EE8608"/>
    <w:rsid w:val="58F6AB0B"/>
    <w:rsid w:val="5909B66C"/>
    <w:rsid w:val="590D61DE"/>
    <w:rsid w:val="59176E79"/>
    <w:rsid w:val="5920B6A6"/>
    <w:rsid w:val="5928CF6C"/>
    <w:rsid w:val="5934E994"/>
    <w:rsid w:val="59362B3E"/>
    <w:rsid w:val="594F3759"/>
    <w:rsid w:val="595296D7"/>
    <w:rsid w:val="5959BF5B"/>
    <w:rsid w:val="59644B64"/>
    <w:rsid w:val="598A371D"/>
    <w:rsid w:val="59B5750E"/>
    <w:rsid w:val="59B97796"/>
    <w:rsid w:val="59CC8061"/>
    <w:rsid w:val="59E30945"/>
    <w:rsid w:val="5A0B9668"/>
    <w:rsid w:val="5A14BF28"/>
    <w:rsid w:val="5A296887"/>
    <w:rsid w:val="5A61AA0C"/>
    <w:rsid w:val="5A86058C"/>
    <w:rsid w:val="5A92B4D7"/>
    <w:rsid w:val="5A9A96E7"/>
    <w:rsid w:val="5AE4928A"/>
    <w:rsid w:val="5AF78B66"/>
    <w:rsid w:val="5B005832"/>
    <w:rsid w:val="5B46A165"/>
    <w:rsid w:val="5BB4E8F5"/>
    <w:rsid w:val="5BD64773"/>
    <w:rsid w:val="5BF2A618"/>
    <w:rsid w:val="5C22898B"/>
    <w:rsid w:val="5C4C64F7"/>
    <w:rsid w:val="5C5A4744"/>
    <w:rsid w:val="5CA02D7A"/>
    <w:rsid w:val="5CA0FB85"/>
    <w:rsid w:val="5CA61F15"/>
    <w:rsid w:val="5CD4EEC0"/>
    <w:rsid w:val="5CEEBE3A"/>
    <w:rsid w:val="5D1672B7"/>
    <w:rsid w:val="5D487142"/>
    <w:rsid w:val="5D4B97B5"/>
    <w:rsid w:val="5D4C30A1"/>
    <w:rsid w:val="5D5F1409"/>
    <w:rsid w:val="5D75AA5B"/>
    <w:rsid w:val="5DB01303"/>
    <w:rsid w:val="5DCCA45F"/>
    <w:rsid w:val="5DEB2F9B"/>
    <w:rsid w:val="5DF22209"/>
    <w:rsid w:val="5E0BA249"/>
    <w:rsid w:val="5E159858"/>
    <w:rsid w:val="5E2C5FC9"/>
    <w:rsid w:val="5E2C9C46"/>
    <w:rsid w:val="5E4AFF36"/>
    <w:rsid w:val="5E529EE5"/>
    <w:rsid w:val="5E5EB5F5"/>
    <w:rsid w:val="5E70B2ED"/>
    <w:rsid w:val="5E755059"/>
    <w:rsid w:val="5EA777EA"/>
    <w:rsid w:val="5EAE683D"/>
    <w:rsid w:val="5EB646F5"/>
    <w:rsid w:val="5ED08C40"/>
    <w:rsid w:val="5EDD0811"/>
    <w:rsid w:val="5F1C94DF"/>
    <w:rsid w:val="5F5F7C70"/>
    <w:rsid w:val="5F718605"/>
    <w:rsid w:val="5F71E376"/>
    <w:rsid w:val="5FADEAFA"/>
    <w:rsid w:val="5FB433CE"/>
    <w:rsid w:val="601DE5BE"/>
    <w:rsid w:val="6043B220"/>
    <w:rsid w:val="60458F7E"/>
    <w:rsid w:val="608D2E7E"/>
    <w:rsid w:val="60EAF375"/>
    <w:rsid w:val="60F46B76"/>
    <w:rsid w:val="61105AF8"/>
    <w:rsid w:val="61230ACE"/>
    <w:rsid w:val="6130EF9F"/>
    <w:rsid w:val="6136A972"/>
    <w:rsid w:val="613E5234"/>
    <w:rsid w:val="614EF23A"/>
    <w:rsid w:val="616C66EB"/>
    <w:rsid w:val="6173B061"/>
    <w:rsid w:val="6189DA32"/>
    <w:rsid w:val="61B613B3"/>
    <w:rsid w:val="61DB2FB0"/>
    <w:rsid w:val="625F12CF"/>
    <w:rsid w:val="626E2CD8"/>
    <w:rsid w:val="627213A3"/>
    <w:rsid w:val="62723869"/>
    <w:rsid w:val="627D4314"/>
    <w:rsid w:val="627EE044"/>
    <w:rsid w:val="628D25E0"/>
    <w:rsid w:val="62A25381"/>
    <w:rsid w:val="62AEC929"/>
    <w:rsid w:val="62F34FDC"/>
    <w:rsid w:val="630A8911"/>
    <w:rsid w:val="635D0B1B"/>
    <w:rsid w:val="636537C0"/>
    <w:rsid w:val="6390EDE7"/>
    <w:rsid w:val="639562DE"/>
    <w:rsid w:val="639FCE27"/>
    <w:rsid w:val="63DD2682"/>
    <w:rsid w:val="63E718DE"/>
    <w:rsid w:val="63E9AB5F"/>
    <w:rsid w:val="63F27E52"/>
    <w:rsid w:val="63FA525C"/>
    <w:rsid w:val="64327A57"/>
    <w:rsid w:val="64376C74"/>
    <w:rsid w:val="64771C0C"/>
    <w:rsid w:val="64C766D5"/>
    <w:rsid w:val="64E2C722"/>
    <w:rsid w:val="64FFA80C"/>
    <w:rsid w:val="65018C78"/>
    <w:rsid w:val="6538E521"/>
    <w:rsid w:val="655D04B6"/>
    <w:rsid w:val="65DC4FA2"/>
    <w:rsid w:val="65E74C6D"/>
    <w:rsid w:val="65FDDEED"/>
    <w:rsid w:val="66288735"/>
    <w:rsid w:val="663EC8BD"/>
    <w:rsid w:val="665686BC"/>
    <w:rsid w:val="6677C85C"/>
    <w:rsid w:val="6681F037"/>
    <w:rsid w:val="6684D33B"/>
    <w:rsid w:val="6691796F"/>
    <w:rsid w:val="66A053B0"/>
    <w:rsid w:val="66A2AD12"/>
    <w:rsid w:val="66C30A2B"/>
    <w:rsid w:val="66C83450"/>
    <w:rsid w:val="66D6577D"/>
    <w:rsid w:val="66D84111"/>
    <w:rsid w:val="66D9501B"/>
    <w:rsid w:val="6709781B"/>
    <w:rsid w:val="671AB522"/>
    <w:rsid w:val="671C042D"/>
    <w:rsid w:val="672BF110"/>
    <w:rsid w:val="67329046"/>
    <w:rsid w:val="67339C25"/>
    <w:rsid w:val="67589F2A"/>
    <w:rsid w:val="675B778A"/>
    <w:rsid w:val="6763012D"/>
    <w:rsid w:val="67A05011"/>
    <w:rsid w:val="67B753A6"/>
    <w:rsid w:val="6811F602"/>
    <w:rsid w:val="682DEA5C"/>
    <w:rsid w:val="68307897"/>
    <w:rsid w:val="6854ACE1"/>
    <w:rsid w:val="68703999"/>
    <w:rsid w:val="68716B13"/>
    <w:rsid w:val="68A04EB6"/>
    <w:rsid w:val="68A07ACE"/>
    <w:rsid w:val="68B1DE58"/>
    <w:rsid w:val="68D69873"/>
    <w:rsid w:val="69081352"/>
    <w:rsid w:val="69330D9F"/>
    <w:rsid w:val="693D44A7"/>
    <w:rsid w:val="69414EBD"/>
    <w:rsid w:val="696B66AD"/>
    <w:rsid w:val="6986F328"/>
    <w:rsid w:val="69DB47E5"/>
    <w:rsid w:val="69F5D72A"/>
    <w:rsid w:val="6A200FBB"/>
    <w:rsid w:val="6A2F2409"/>
    <w:rsid w:val="6A41F705"/>
    <w:rsid w:val="6A4E135B"/>
    <w:rsid w:val="6A6A1C11"/>
    <w:rsid w:val="6A7E70C0"/>
    <w:rsid w:val="6A87B4F0"/>
    <w:rsid w:val="6A8D5E53"/>
    <w:rsid w:val="6AABBD2F"/>
    <w:rsid w:val="6AAE5A0E"/>
    <w:rsid w:val="6ABCEEAE"/>
    <w:rsid w:val="6B050C54"/>
    <w:rsid w:val="6B194235"/>
    <w:rsid w:val="6B4AB49A"/>
    <w:rsid w:val="6B681A52"/>
    <w:rsid w:val="6BA0EE0F"/>
    <w:rsid w:val="6BB3F6CE"/>
    <w:rsid w:val="6BC746E5"/>
    <w:rsid w:val="6BEF72DC"/>
    <w:rsid w:val="6C2C242F"/>
    <w:rsid w:val="6C3DDA74"/>
    <w:rsid w:val="6C4456EC"/>
    <w:rsid w:val="6CC3659C"/>
    <w:rsid w:val="6CFEE01F"/>
    <w:rsid w:val="6D10B842"/>
    <w:rsid w:val="6D37656B"/>
    <w:rsid w:val="6DA8E5FE"/>
    <w:rsid w:val="6DD1B9B8"/>
    <w:rsid w:val="6E0167B9"/>
    <w:rsid w:val="6E1C8224"/>
    <w:rsid w:val="6E372E74"/>
    <w:rsid w:val="6E54EA1D"/>
    <w:rsid w:val="6E790DF6"/>
    <w:rsid w:val="6E7FB82D"/>
    <w:rsid w:val="6E89079C"/>
    <w:rsid w:val="6E8E66D6"/>
    <w:rsid w:val="6E943BEB"/>
    <w:rsid w:val="6E9ACDC8"/>
    <w:rsid w:val="6E9C5AEF"/>
    <w:rsid w:val="6EAD6B29"/>
    <w:rsid w:val="6ECB2FAA"/>
    <w:rsid w:val="6EE5275B"/>
    <w:rsid w:val="6EF28DD7"/>
    <w:rsid w:val="6EF8506A"/>
    <w:rsid w:val="6F24AD8E"/>
    <w:rsid w:val="6F464EE3"/>
    <w:rsid w:val="6F593507"/>
    <w:rsid w:val="6F7EE1D0"/>
    <w:rsid w:val="6FD8BD34"/>
    <w:rsid w:val="7003DA57"/>
    <w:rsid w:val="7028B1B4"/>
    <w:rsid w:val="7045E4FA"/>
    <w:rsid w:val="706CD322"/>
    <w:rsid w:val="7081BF39"/>
    <w:rsid w:val="70C3F7F0"/>
    <w:rsid w:val="70EC1901"/>
    <w:rsid w:val="7104C24D"/>
    <w:rsid w:val="7126B1A4"/>
    <w:rsid w:val="7152862F"/>
    <w:rsid w:val="7156A5C5"/>
    <w:rsid w:val="7158421E"/>
    <w:rsid w:val="71806219"/>
    <w:rsid w:val="72044F4F"/>
    <w:rsid w:val="72432AA6"/>
    <w:rsid w:val="724AD46E"/>
    <w:rsid w:val="7267132E"/>
    <w:rsid w:val="72AF69E6"/>
    <w:rsid w:val="72CFCA19"/>
    <w:rsid w:val="72E64C15"/>
    <w:rsid w:val="7300B4A8"/>
    <w:rsid w:val="7301C293"/>
    <w:rsid w:val="730A5A07"/>
    <w:rsid w:val="731DD1E4"/>
    <w:rsid w:val="732D9BBC"/>
    <w:rsid w:val="7346D5AA"/>
    <w:rsid w:val="7347D836"/>
    <w:rsid w:val="73752B43"/>
    <w:rsid w:val="7376D5F3"/>
    <w:rsid w:val="73D5A50A"/>
    <w:rsid w:val="74007FE1"/>
    <w:rsid w:val="7409236E"/>
    <w:rsid w:val="74337F63"/>
    <w:rsid w:val="743874EA"/>
    <w:rsid w:val="746476E5"/>
    <w:rsid w:val="747F6057"/>
    <w:rsid w:val="74A7FC31"/>
    <w:rsid w:val="74BE0168"/>
    <w:rsid w:val="74D482B1"/>
    <w:rsid w:val="74FAF686"/>
    <w:rsid w:val="753F017F"/>
    <w:rsid w:val="75C4AFAD"/>
    <w:rsid w:val="75D41AF5"/>
    <w:rsid w:val="75D51261"/>
    <w:rsid w:val="75D9DC1F"/>
    <w:rsid w:val="7618ED69"/>
    <w:rsid w:val="76292374"/>
    <w:rsid w:val="7631F539"/>
    <w:rsid w:val="76391289"/>
    <w:rsid w:val="768A6E41"/>
    <w:rsid w:val="76A4FE9F"/>
    <w:rsid w:val="76DD9605"/>
    <w:rsid w:val="76E15C59"/>
    <w:rsid w:val="7746DB9E"/>
    <w:rsid w:val="774FAB6F"/>
    <w:rsid w:val="775566B7"/>
    <w:rsid w:val="776CBDB9"/>
    <w:rsid w:val="7793A789"/>
    <w:rsid w:val="77BB837B"/>
    <w:rsid w:val="77C6B9B6"/>
    <w:rsid w:val="78155F53"/>
    <w:rsid w:val="782F9E94"/>
    <w:rsid w:val="787405E6"/>
    <w:rsid w:val="78C180E7"/>
    <w:rsid w:val="797597E3"/>
    <w:rsid w:val="797E67E8"/>
    <w:rsid w:val="799CA0BA"/>
    <w:rsid w:val="79A12FB2"/>
    <w:rsid w:val="79ABB8E4"/>
    <w:rsid w:val="79D2E439"/>
    <w:rsid w:val="79D89DF7"/>
    <w:rsid w:val="79F5B046"/>
    <w:rsid w:val="7A248507"/>
    <w:rsid w:val="7A3B37B5"/>
    <w:rsid w:val="7A5765F0"/>
    <w:rsid w:val="7A755EBA"/>
    <w:rsid w:val="7AC1E03E"/>
    <w:rsid w:val="7AC47191"/>
    <w:rsid w:val="7B331DFE"/>
    <w:rsid w:val="7B46D1F5"/>
    <w:rsid w:val="7B4FDE26"/>
    <w:rsid w:val="7B728423"/>
    <w:rsid w:val="7B89FD0E"/>
    <w:rsid w:val="7B8D61D3"/>
    <w:rsid w:val="7B9E6609"/>
    <w:rsid w:val="7BAA7180"/>
    <w:rsid w:val="7BBB4BA1"/>
    <w:rsid w:val="7BCD6306"/>
    <w:rsid w:val="7BEB214F"/>
    <w:rsid w:val="7C0D963A"/>
    <w:rsid w:val="7C29DC67"/>
    <w:rsid w:val="7C2AEB81"/>
    <w:rsid w:val="7C7C5208"/>
    <w:rsid w:val="7C8B635A"/>
    <w:rsid w:val="7C905D1E"/>
    <w:rsid w:val="7D34C3E4"/>
    <w:rsid w:val="7D47D93B"/>
    <w:rsid w:val="7D86A723"/>
    <w:rsid w:val="7D9E07A4"/>
    <w:rsid w:val="7DCA93B9"/>
    <w:rsid w:val="7DEFB8D2"/>
    <w:rsid w:val="7DF597FF"/>
    <w:rsid w:val="7DFD0463"/>
    <w:rsid w:val="7E382893"/>
    <w:rsid w:val="7E441E29"/>
    <w:rsid w:val="7E5CED04"/>
    <w:rsid w:val="7E71EFFC"/>
    <w:rsid w:val="7E8E1EEC"/>
    <w:rsid w:val="7E93D302"/>
    <w:rsid w:val="7E93EBEE"/>
    <w:rsid w:val="7E974358"/>
    <w:rsid w:val="7E99AC0A"/>
    <w:rsid w:val="7EA9E677"/>
    <w:rsid w:val="7EB86322"/>
    <w:rsid w:val="7EBB0B5B"/>
    <w:rsid w:val="7EE3ECE7"/>
    <w:rsid w:val="7EEBCAAC"/>
    <w:rsid w:val="7F4B4F4D"/>
    <w:rsid w:val="7F4F0F11"/>
    <w:rsid w:val="7F6333E5"/>
    <w:rsid w:val="7F635E09"/>
    <w:rsid w:val="7F9A9EAD"/>
    <w:rsid w:val="7FA58B2C"/>
    <w:rsid w:val="7FBF9EBC"/>
    <w:rsid w:val="7FE2727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7DCD9"/>
  <w15:chartTrackingRefBased/>
  <w15:docId w15:val="{016DBC70-D59F-43FA-9F43-075F7D0FE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711A2"/>
  </w:style>
  <w:style w:type="paragraph" w:styleId="Heading1">
    <w:name w:val="heading 1"/>
    <w:basedOn w:val="Normal"/>
    <w:next w:val="Normal"/>
    <w:link w:val="Heading1Char"/>
    <w:uiPriority w:val="9"/>
    <w:qFormat/>
    <w:rsid w:val="00B26382"/>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26382"/>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638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638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638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638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638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638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6382"/>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B26382"/>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B26382"/>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B26382"/>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B26382"/>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B26382"/>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B26382"/>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B26382"/>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B26382"/>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B26382"/>
    <w:rPr>
      <w:rFonts w:eastAsiaTheme="majorEastAsia" w:cstheme="majorBidi"/>
      <w:color w:val="272727" w:themeColor="text1" w:themeTint="D8"/>
    </w:rPr>
  </w:style>
  <w:style w:type="paragraph" w:styleId="Title">
    <w:name w:val="Title"/>
    <w:basedOn w:val="Normal"/>
    <w:next w:val="Normal"/>
    <w:link w:val="TitleChar"/>
    <w:uiPriority w:val="10"/>
    <w:qFormat/>
    <w:rsid w:val="00B26382"/>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B26382"/>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B26382"/>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B2638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6382"/>
    <w:pPr>
      <w:spacing w:before="160"/>
      <w:jc w:val="center"/>
    </w:pPr>
    <w:rPr>
      <w:i/>
      <w:iCs/>
      <w:color w:val="404040" w:themeColor="text1" w:themeTint="BF"/>
    </w:rPr>
  </w:style>
  <w:style w:type="character" w:styleId="QuoteChar" w:customStyle="1">
    <w:name w:val="Quote Char"/>
    <w:basedOn w:val="DefaultParagraphFont"/>
    <w:link w:val="Quote"/>
    <w:uiPriority w:val="29"/>
    <w:rsid w:val="00B26382"/>
    <w:rPr>
      <w:i/>
      <w:iCs/>
      <w:color w:val="404040" w:themeColor="text1" w:themeTint="BF"/>
    </w:rPr>
  </w:style>
  <w:style w:type="paragraph" w:styleId="ListParagraph">
    <w:name w:val="List Paragraph"/>
    <w:basedOn w:val="Normal"/>
    <w:uiPriority w:val="34"/>
    <w:qFormat/>
    <w:rsid w:val="00B26382"/>
    <w:pPr>
      <w:ind w:left="720"/>
      <w:contextualSpacing/>
    </w:pPr>
  </w:style>
  <w:style w:type="character" w:styleId="IntenseEmphasis">
    <w:name w:val="Intense Emphasis"/>
    <w:basedOn w:val="DefaultParagraphFont"/>
    <w:uiPriority w:val="21"/>
    <w:qFormat/>
    <w:rsid w:val="00B26382"/>
    <w:rPr>
      <w:i/>
      <w:iCs/>
      <w:color w:val="0F4761" w:themeColor="accent1" w:themeShade="BF"/>
    </w:rPr>
  </w:style>
  <w:style w:type="paragraph" w:styleId="IntenseQuote">
    <w:name w:val="Intense Quote"/>
    <w:basedOn w:val="Normal"/>
    <w:next w:val="Normal"/>
    <w:link w:val="IntenseQuoteChar"/>
    <w:uiPriority w:val="30"/>
    <w:qFormat/>
    <w:rsid w:val="00B26382"/>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B26382"/>
    <w:rPr>
      <w:i/>
      <w:iCs/>
      <w:color w:val="0F4761" w:themeColor="accent1" w:themeShade="BF"/>
    </w:rPr>
  </w:style>
  <w:style w:type="character" w:styleId="IntenseReference">
    <w:name w:val="Intense Reference"/>
    <w:basedOn w:val="DefaultParagraphFont"/>
    <w:uiPriority w:val="32"/>
    <w:qFormat/>
    <w:rsid w:val="00B26382"/>
    <w:rPr>
      <w:b/>
      <w:bCs/>
      <w:smallCaps/>
      <w:color w:val="0F4761" w:themeColor="accent1" w:themeShade="BF"/>
      <w:spacing w:val="5"/>
    </w:rPr>
  </w:style>
  <w:style w:type="character" w:styleId="Hyperlink">
    <w:name w:val="Hyperlink"/>
    <w:basedOn w:val="DefaultParagraphFont"/>
    <w:uiPriority w:val="99"/>
    <w:unhideWhenUsed/>
    <w:rsid w:val="00491B6A"/>
    <w:rPr>
      <w:color w:val="467886" w:themeColor="hyperlink"/>
      <w:u w:val="single"/>
    </w:rPr>
  </w:style>
  <w:style w:type="character" w:styleId="UnresolvedMention">
    <w:name w:val="Unresolved Mention"/>
    <w:basedOn w:val="DefaultParagraphFont"/>
    <w:uiPriority w:val="99"/>
    <w:semiHidden/>
    <w:unhideWhenUsed/>
    <w:rsid w:val="00491B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cielo.isciii.es/scielo.php?script=sci_arttext&amp;pid=S1132-05592010000200007&amp;lng=es&amp;tlng=es" TargetMode="External" Id="rId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20/10/relationships/intelligence" Target="intelligence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hyperlink" Target="https://doi.org/10.1016/j.psi.2016.06.001" TargetMode="External" Id="rId9"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76e19a15-2275-41d2-ab0b-d020d0f98361">
      <Terms xmlns="http://schemas.microsoft.com/office/infopath/2007/PartnerControls"/>
    </lcf76f155ced4ddcb4097134ff3c332f>
    <TaxCatchAll xmlns="d0a6d937-f7bd-44ad-93dd-573816dfd868" xsi:nil="true"/>
    <_Flow_SignoffStatus xmlns="76e19a15-2275-41d2-ab0b-d020d0f9836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89722F62806E4382CE62E8B391F50D" ma:contentTypeVersion="22" ma:contentTypeDescription="Crear nuevo documento." ma:contentTypeScope="" ma:versionID="4df2fd64e2790724c9fd0bac115213ac">
  <xsd:schema xmlns:xsd="http://www.w3.org/2001/XMLSchema" xmlns:xs="http://www.w3.org/2001/XMLSchema" xmlns:p="http://schemas.microsoft.com/office/2006/metadata/properties" xmlns:ns1="http://schemas.microsoft.com/sharepoint/v3" xmlns:ns2="76e19a15-2275-41d2-ab0b-d020d0f98361" xmlns:ns3="d0a6d937-f7bd-44ad-93dd-573816dfd868" targetNamespace="http://schemas.microsoft.com/office/2006/metadata/properties" ma:root="true" ma:fieldsID="a19a6d13b4e3f31e768ffd0c43e3beea" ns1:_="" ns2:_="" ns3:_="">
    <xsd:import namespace="http://schemas.microsoft.com/sharepoint/v3"/>
    <xsd:import namespace="76e19a15-2275-41d2-ab0b-d020d0f98361"/>
    <xsd:import namespace="d0a6d937-f7bd-44ad-93dd-573816dfd868"/>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Propiedades de la Directiva de cumplimiento unificado" ma:hidden="true" ma:internalName="_ip_UnifiedCompliancePolicyProperties" ma:readOnly="false">
      <xsd:simpleType>
        <xsd:restriction base="dms:Note"/>
      </xsd:simpleType>
    </xsd:element>
    <xsd:element name="_ip_UnifiedCompliancePolicyUIAction" ma:index="22" nillable="true" ma:displayName="Acción de IU de la Directiva de cumplimiento unificado"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e19a15-2275-41d2-ab0b-d020d0f98361" elementFormDefault="qualified">
    <xsd:import namespace="http://schemas.microsoft.com/office/2006/documentManagement/types"/>
    <xsd:import namespace="http://schemas.microsoft.com/office/infopath/2007/PartnerControls"/>
    <xsd:element name="_Flow_SignoffStatus" ma:index="2" nillable="true" ma:displayName="Estado de aprobación" ma:internalName="Estado_x0020_de_x0020_aprobaci_x00f3_n" ma:readOnly="false">
      <xsd:simpleType>
        <xsd:restriction base="dms:Text"/>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hidden="true" ma:internalName="MediaServiceAutoTags" ma:readOnly="true">
      <xsd:simpleType>
        <xsd:restriction base="dms:Text"/>
      </xsd:simpleType>
    </xsd:element>
    <xsd:element name="MediaServiceOCR" ma:index="11" nillable="true" ma:displayName="Extracted Text" ma:hidden="true" ma:internalName="MediaServiceOCR"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MediaLengthInSeconds" ma:index="20" nillable="true" ma:displayName="Length (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Etiquetas de imagen" ma:readOnly="false" ma:fieldId="{5cf76f15-5ced-4ddc-b409-7134ff3c332f}" ma:taxonomyMulti="true" ma:sspId="5d09d035-a677-4b24-aeee-1a5c3beaf1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a6d937-f7bd-44ad-93dd-573816dfd868" elementFormDefault="qualified">
    <xsd:import namespace="http://schemas.microsoft.com/office/2006/documentManagement/types"/>
    <xsd:import namespace="http://schemas.microsoft.com/office/infopath/2007/PartnerControls"/>
    <xsd:element name="SharedWithUsers" ma:index="16" nillable="true" ma:displayName="Compartido c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hidden="true" ma:internalName="SharedWithDetails" ma:readOnly="true">
      <xsd:simpleType>
        <xsd:restriction base="dms:Note"/>
      </xsd:simpleType>
    </xsd:element>
    <xsd:element name="TaxCatchAll" ma:index="26" nillable="true" ma:displayName="Taxonomy Catch All Column" ma:hidden="true" ma:list="{7b4d33e3-c3e0-449f-a61f-09deb52a38d5}" ma:internalName="TaxCatchAll" ma:showField="CatchAllData" ma:web="d0a6d937-f7bd-44ad-93dd-573816dfd8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nido"/>
        <xsd:element ref="dc:title" minOccurs="0"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A6086D-2C5B-492F-B308-681D928ADD75}">
  <ds:schemaRefs>
    <ds:schemaRef ds:uri="http://schemas.microsoft.com/sharepoint/v3/contenttype/forms"/>
  </ds:schemaRefs>
</ds:datastoreItem>
</file>

<file path=customXml/itemProps2.xml><?xml version="1.0" encoding="utf-8"?>
<ds:datastoreItem xmlns:ds="http://schemas.openxmlformats.org/officeDocument/2006/customXml" ds:itemID="{1A7ED853-FD2A-48EC-83A6-8CD5E719D499}">
  <ds:schemaRefs>
    <ds:schemaRef ds:uri="http://schemas.microsoft.com/office/2006/metadata/properties"/>
    <ds:schemaRef ds:uri="http://www.w3.org/2000/xmlns/"/>
    <ds:schemaRef ds:uri="http://schemas.microsoft.com/sharepoint/v3"/>
    <ds:schemaRef ds:uri="http://www.w3.org/2001/XMLSchema-instance"/>
    <ds:schemaRef ds:uri="4599097c-1380-4f3a-bc6a-1058d4bd3595"/>
    <ds:schemaRef ds:uri="http://schemas.microsoft.com/office/infopath/2007/PartnerControls"/>
    <ds:schemaRef ds:uri="a47cb594-4f11-4c5f-b9b1-4db47e9bf4b6"/>
  </ds:schemaRefs>
</ds:datastoreItem>
</file>

<file path=customXml/itemProps3.xml><?xml version="1.0" encoding="utf-8"?>
<ds:datastoreItem xmlns:ds="http://schemas.openxmlformats.org/officeDocument/2006/customXml" ds:itemID="{B4565173-8E3F-46DF-8B50-15F2245D8ED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Velasco M</dc:creator>
  <cp:keywords/>
  <dc:description/>
  <cp:lastModifiedBy>Leidy Natalia Rave Almario</cp:lastModifiedBy>
  <cp:revision>51</cp:revision>
  <dcterms:created xsi:type="dcterms:W3CDTF">2024-08-07T21:25:00Z</dcterms:created>
  <dcterms:modified xsi:type="dcterms:W3CDTF">2025-06-10T16:36:18Z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0x010100FA89722F62806E4382CE62E8B391F50D</vt:lpwstr>
  </property>
  <property fmtid="{D5CDD505-2E9C-101B-9397-08002B2CF9AE}" pid="3" name="MediaServiceImageTags">
    <vt:lpwstr/>
  </property>
</Properties>
</file>